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55D7ED">
      <w:pPr>
        <w:tabs>
          <w:tab w:val="left" w:pos="764"/>
        </w:tabs>
        <w:jc w:val="center"/>
        <w:rPr>
          <w:rFonts w:hint="eastAsia" w:ascii="黑体" w:hAnsi="黑体" w:eastAsia="黑体" w:cs="黑体"/>
          <w:color w:val="auto"/>
          <w:sz w:val="44"/>
          <w:szCs w:val="44"/>
          <w:highlight w:val="none"/>
          <w:lang w:val="en-US" w:eastAsia="zh-CN"/>
        </w:rPr>
      </w:pPr>
      <w:bookmarkStart w:id="2" w:name="_GoBack"/>
      <w:bookmarkEnd w:id="2"/>
    </w:p>
    <w:p w14:paraId="7FDA15C9">
      <w:pPr>
        <w:tabs>
          <w:tab w:val="left" w:pos="764"/>
        </w:tabs>
        <w:jc w:val="center"/>
        <w:rPr>
          <w:rFonts w:hint="eastAsia" w:ascii="黑体" w:hAnsi="黑体" w:eastAsia="黑体" w:cs="黑体"/>
          <w:color w:val="auto"/>
          <w:sz w:val="44"/>
          <w:szCs w:val="44"/>
          <w:highlight w:val="none"/>
          <w:lang w:val="en-US" w:eastAsia="zh-CN"/>
        </w:rPr>
      </w:pPr>
    </w:p>
    <w:p w14:paraId="31210F69">
      <w:pPr>
        <w:tabs>
          <w:tab w:val="left" w:pos="764"/>
        </w:tabs>
        <w:jc w:val="center"/>
        <w:rPr>
          <w:rFonts w:ascii="黑体" w:hAnsi="黑体" w:eastAsia="黑体" w:cs="黑体"/>
          <w:color w:val="auto"/>
          <w:sz w:val="44"/>
          <w:szCs w:val="44"/>
          <w:highlight w:val="none"/>
        </w:rPr>
      </w:pPr>
      <w:r>
        <w:rPr>
          <w:rFonts w:hint="eastAsia" w:ascii="黑体" w:hAnsi="黑体" w:eastAsia="黑体" w:cs="黑体"/>
          <w:color w:val="auto"/>
          <w:sz w:val="44"/>
          <w:szCs w:val="44"/>
          <w:highlight w:val="none"/>
          <w:lang w:val="en-US" w:eastAsia="zh-CN"/>
        </w:rPr>
        <w:t>煤燃烧与低碳利用全国重点实验室广东能源分室基础支撑平台建设工程设计施工总承包项目</w:t>
      </w:r>
      <w:r>
        <w:rPr>
          <w:rFonts w:hint="eastAsia" w:ascii="黑体" w:hAnsi="黑体" w:eastAsia="黑体" w:cs="黑体"/>
          <w:color w:val="auto"/>
          <w:sz w:val="44"/>
          <w:szCs w:val="44"/>
          <w:highlight w:val="none"/>
        </w:rPr>
        <w:t>设计任务书</w:t>
      </w:r>
    </w:p>
    <w:p w14:paraId="270451AF">
      <w:pPr>
        <w:spacing w:before="101" w:line="226" w:lineRule="auto"/>
        <w:ind w:left="37"/>
        <w:jc w:val="center"/>
        <w:rPr>
          <w:color w:val="auto"/>
          <w:spacing w:val="14"/>
          <w:sz w:val="31"/>
          <w:szCs w:val="31"/>
          <w:highlight w:val="none"/>
        </w:rPr>
      </w:pPr>
    </w:p>
    <w:p w14:paraId="0D68F4CC">
      <w:pPr>
        <w:spacing w:before="101" w:line="226" w:lineRule="auto"/>
        <w:ind w:left="37"/>
        <w:jc w:val="center"/>
        <w:rPr>
          <w:color w:val="auto"/>
          <w:spacing w:val="14"/>
          <w:sz w:val="31"/>
          <w:szCs w:val="31"/>
          <w:highlight w:val="none"/>
        </w:rPr>
      </w:pPr>
    </w:p>
    <w:p w14:paraId="3EF2FA3D">
      <w:pPr>
        <w:spacing w:before="101" w:line="226" w:lineRule="auto"/>
        <w:ind w:left="37"/>
        <w:jc w:val="center"/>
        <w:rPr>
          <w:color w:val="auto"/>
          <w:spacing w:val="14"/>
          <w:sz w:val="31"/>
          <w:szCs w:val="31"/>
          <w:highlight w:val="none"/>
        </w:rPr>
      </w:pPr>
    </w:p>
    <w:p w14:paraId="6D3D9EC7">
      <w:pPr>
        <w:spacing w:before="101" w:line="226" w:lineRule="auto"/>
        <w:ind w:left="37"/>
        <w:jc w:val="center"/>
        <w:rPr>
          <w:color w:val="auto"/>
          <w:spacing w:val="14"/>
          <w:sz w:val="31"/>
          <w:szCs w:val="31"/>
          <w:highlight w:val="none"/>
        </w:rPr>
      </w:pPr>
    </w:p>
    <w:p w14:paraId="142359C8">
      <w:pPr>
        <w:spacing w:before="101" w:line="226" w:lineRule="auto"/>
        <w:ind w:left="37"/>
        <w:jc w:val="center"/>
        <w:rPr>
          <w:color w:val="auto"/>
          <w:spacing w:val="14"/>
          <w:sz w:val="31"/>
          <w:szCs w:val="31"/>
          <w:highlight w:val="none"/>
        </w:rPr>
      </w:pPr>
    </w:p>
    <w:p w14:paraId="2FAEDF7E">
      <w:pPr>
        <w:spacing w:before="101" w:line="226" w:lineRule="auto"/>
        <w:ind w:left="37"/>
        <w:jc w:val="center"/>
        <w:rPr>
          <w:color w:val="auto"/>
          <w:spacing w:val="14"/>
          <w:sz w:val="31"/>
          <w:szCs w:val="31"/>
          <w:highlight w:val="none"/>
        </w:rPr>
      </w:pPr>
    </w:p>
    <w:p w14:paraId="44708176">
      <w:pPr>
        <w:spacing w:before="101" w:line="226" w:lineRule="auto"/>
        <w:ind w:left="37"/>
        <w:jc w:val="center"/>
        <w:rPr>
          <w:color w:val="auto"/>
          <w:spacing w:val="14"/>
          <w:sz w:val="31"/>
          <w:szCs w:val="31"/>
          <w:highlight w:val="none"/>
        </w:rPr>
      </w:pPr>
    </w:p>
    <w:p w14:paraId="34484D75">
      <w:pPr>
        <w:spacing w:before="101" w:line="226" w:lineRule="auto"/>
        <w:ind w:left="37"/>
        <w:jc w:val="center"/>
        <w:rPr>
          <w:color w:val="auto"/>
          <w:spacing w:val="14"/>
          <w:sz w:val="31"/>
          <w:szCs w:val="31"/>
          <w:highlight w:val="none"/>
        </w:rPr>
      </w:pPr>
    </w:p>
    <w:p w14:paraId="30061BA3">
      <w:pPr>
        <w:spacing w:before="101" w:line="226" w:lineRule="auto"/>
        <w:ind w:left="37"/>
        <w:jc w:val="center"/>
        <w:rPr>
          <w:color w:val="auto"/>
          <w:spacing w:val="14"/>
          <w:sz w:val="31"/>
          <w:szCs w:val="31"/>
          <w:highlight w:val="none"/>
        </w:rPr>
      </w:pPr>
    </w:p>
    <w:p w14:paraId="5ED19D5C">
      <w:pPr>
        <w:spacing w:before="101" w:line="226" w:lineRule="auto"/>
        <w:ind w:left="37"/>
        <w:jc w:val="center"/>
        <w:rPr>
          <w:color w:val="auto"/>
          <w:spacing w:val="14"/>
          <w:sz w:val="31"/>
          <w:szCs w:val="31"/>
          <w:highlight w:val="none"/>
        </w:rPr>
      </w:pPr>
    </w:p>
    <w:p w14:paraId="48A773DB">
      <w:pPr>
        <w:spacing w:before="101" w:line="226" w:lineRule="auto"/>
        <w:ind w:left="37"/>
        <w:jc w:val="center"/>
        <w:rPr>
          <w:color w:val="auto"/>
          <w:spacing w:val="14"/>
          <w:sz w:val="31"/>
          <w:szCs w:val="31"/>
          <w:highlight w:val="none"/>
        </w:rPr>
      </w:pPr>
    </w:p>
    <w:p w14:paraId="635B8C56">
      <w:pPr>
        <w:snapToGrid w:val="0"/>
        <w:spacing w:before="101"/>
        <w:ind w:left="40"/>
        <w:jc w:val="center"/>
        <w:rPr>
          <w:color w:val="auto"/>
          <w:spacing w:val="14"/>
          <w:sz w:val="31"/>
          <w:szCs w:val="31"/>
          <w:highlight w:val="none"/>
        </w:rPr>
      </w:pPr>
    </w:p>
    <w:p w14:paraId="44F98AB6">
      <w:pPr>
        <w:snapToGrid w:val="0"/>
        <w:spacing w:before="101"/>
        <w:ind w:left="40"/>
        <w:jc w:val="center"/>
        <w:rPr>
          <w:rFonts w:hint="eastAsia" w:eastAsia="宋体" w:cs="Times New Roman"/>
          <w:color w:val="auto"/>
          <w:spacing w:val="8"/>
          <w:sz w:val="31"/>
          <w:szCs w:val="31"/>
          <w:highlight w:val="none"/>
          <w:lang w:val="en-US" w:eastAsia="zh-CN"/>
        </w:rPr>
      </w:pPr>
      <w:r>
        <w:rPr>
          <w:color w:val="auto"/>
          <w:spacing w:val="14"/>
          <w:sz w:val="31"/>
          <w:szCs w:val="31"/>
          <w:highlight w:val="none"/>
        </w:rPr>
        <w:t>编</w:t>
      </w:r>
      <w:r>
        <w:rPr>
          <w:color w:val="auto"/>
          <w:spacing w:val="8"/>
          <w:sz w:val="31"/>
          <w:szCs w:val="31"/>
          <w:highlight w:val="none"/>
        </w:rPr>
        <w:t>制单位：</w:t>
      </w:r>
      <w:r>
        <w:rPr>
          <w:rFonts w:hint="eastAsia"/>
          <w:color w:val="auto"/>
          <w:spacing w:val="8"/>
          <w:sz w:val="31"/>
          <w:szCs w:val="31"/>
          <w:highlight w:val="none"/>
          <w:lang w:val="en-US" w:eastAsia="zh-CN"/>
        </w:rPr>
        <w:t>广东能源集团科学技术研究</w:t>
      </w:r>
      <w:r>
        <w:rPr>
          <w:rFonts w:hint="eastAsia" w:eastAsia="宋体" w:cs="Times New Roman"/>
          <w:color w:val="auto"/>
          <w:spacing w:val="8"/>
          <w:sz w:val="31"/>
          <w:szCs w:val="31"/>
          <w:highlight w:val="none"/>
          <w:lang w:val="en-US" w:eastAsia="zh-CN"/>
        </w:rPr>
        <w:t>有限公司</w:t>
      </w:r>
    </w:p>
    <w:p w14:paraId="3709B318">
      <w:pPr>
        <w:snapToGrid w:val="0"/>
        <w:spacing w:before="244"/>
        <w:ind w:left="40"/>
        <w:jc w:val="center"/>
        <w:rPr>
          <w:color w:val="auto"/>
          <w:sz w:val="31"/>
          <w:szCs w:val="31"/>
          <w:highlight w:val="none"/>
        </w:rPr>
      </w:pPr>
      <w:r>
        <w:rPr>
          <w:color w:val="auto"/>
          <w:spacing w:val="-20"/>
          <w:sz w:val="31"/>
          <w:szCs w:val="31"/>
          <w:highlight w:val="none"/>
        </w:rPr>
        <w:t>编</w:t>
      </w:r>
      <w:r>
        <w:rPr>
          <w:color w:val="auto"/>
          <w:spacing w:val="-17"/>
          <w:sz w:val="31"/>
          <w:szCs w:val="31"/>
          <w:highlight w:val="none"/>
        </w:rPr>
        <w:t>制日期：202</w:t>
      </w:r>
      <w:r>
        <w:rPr>
          <w:rFonts w:hint="eastAsia"/>
          <w:color w:val="auto"/>
          <w:spacing w:val="-17"/>
          <w:sz w:val="31"/>
          <w:szCs w:val="31"/>
          <w:highlight w:val="none"/>
          <w:lang w:val="en-US" w:eastAsia="zh-CN"/>
        </w:rPr>
        <w:t>6</w:t>
      </w:r>
      <w:r>
        <w:rPr>
          <w:color w:val="auto"/>
          <w:spacing w:val="-17"/>
          <w:sz w:val="31"/>
          <w:szCs w:val="31"/>
          <w:highlight w:val="none"/>
        </w:rPr>
        <w:t>年</w:t>
      </w:r>
      <w:r>
        <w:rPr>
          <w:rFonts w:hint="eastAsia"/>
          <w:color w:val="auto"/>
          <w:spacing w:val="-17"/>
          <w:sz w:val="31"/>
          <w:szCs w:val="31"/>
          <w:highlight w:val="none"/>
          <w:lang w:val="en-US" w:eastAsia="zh-CN"/>
        </w:rPr>
        <w:t>4</w:t>
      </w:r>
      <w:r>
        <w:rPr>
          <w:color w:val="auto"/>
          <w:spacing w:val="-17"/>
          <w:sz w:val="31"/>
          <w:szCs w:val="31"/>
          <w:highlight w:val="none"/>
        </w:rPr>
        <w:t>月</w:t>
      </w:r>
    </w:p>
    <w:p w14:paraId="59C594E9">
      <w:pPr>
        <w:tabs>
          <w:tab w:val="left" w:pos="764"/>
        </w:tabs>
        <w:jc w:val="center"/>
        <w:rPr>
          <w:rFonts w:ascii="黑体" w:hAnsi="黑体" w:eastAsia="黑体" w:cs="黑体"/>
          <w:color w:val="auto"/>
          <w:sz w:val="44"/>
          <w:szCs w:val="44"/>
          <w:highlight w:val="none"/>
        </w:rPr>
      </w:pPr>
    </w:p>
    <w:p w14:paraId="48F5000F">
      <w:pPr>
        <w:tabs>
          <w:tab w:val="left" w:pos="764"/>
        </w:tabs>
        <w:jc w:val="center"/>
        <w:rPr>
          <w:rFonts w:ascii="黑体" w:hAnsi="黑体" w:eastAsia="黑体" w:cs="黑体"/>
          <w:color w:val="auto"/>
          <w:sz w:val="44"/>
          <w:szCs w:val="44"/>
          <w:highlight w:val="none"/>
        </w:rPr>
      </w:pPr>
    </w:p>
    <w:p w14:paraId="31F14F91">
      <w:pPr>
        <w:pStyle w:val="2"/>
        <w:numPr>
          <w:ilvl w:val="0"/>
          <w:numId w:val="0"/>
        </w:numPr>
        <w:ind w:firstLine="2891" w:firstLineChars="800"/>
        <w:jc w:val="both"/>
        <w:rPr>
          <w:color w:val="auto"/>
          <w:highlight w:val="none"/>
        </w:rPr>
      </w:pPr>
      <w:r>
        <w:rPr>
          <w:rFonts w:hint="eastAsia"/>
          <w:color w:val="auto"/>
          <w:highlight w:val="none"/>
        </w:rPr>
        <w:t>第一章 项目概况</w:t>
      </w:r>
    </w:p>
    <w:p w14:paraId="03258C9C">
      <w:pPr>
        <w:widowControl/>
        <w:snapToGrid w:val="0"/>
        <w:spacing w:line="360" w:lineRule="auto"/>
        <w:jc w:val="left"/>
        <w:rPr>
          <w:rFonts w:ascii="仿宋" w:hAnsi="仿宋" w:eastAsia="仿宋" w:cs="仿宋"/>
          <w:b/>
          <w:bCs/>
          <w:color w:val="auto"/>
          <w:kern w:val="0"/>
          <w:sz w:val="32"/>
          <w:szCs w:val="32"/>
          <w:highlight w:val="none"/>
          <w:lang w:bidi="ar"/>
        </w:rPr>
      </w:pPr>
      <w:r>
        <w:rPr>
          <w:rFonts w:hint="eastAsia" w:ascii="仿宋" w:hAnsi="仿宋" w:eastAsia="仿宋" w:cs="仿宋"/>
          <w:b/>
          <w:bCs/>
          <w:color w:val="auto"/>
          <w:kern w:val="0"/>
          <w:sz w:val="32"/>
          <w:szCs w:val="32"/>
          <w:highlight w:val="none"/>
          <w:lang w:bidi="ar"/>
        </w:rPr>
        <w:t>一、项目区位</w:t>
      </w:r>
    </w:p>
    <w:p w14:paraId="23F1FC28">
      <w:pPr>
        <w:shd w:val="clear" w:color="auto" w:fill="auto"/>
        <w:ind w:firstLine="560"/>
        <w:jc w:val="both"/>
        <w:rPr>
          <w:rFonts w:hint="eastAsia" w:ascii="FangSong_GB2312" w:hAnsi="FangSong_GB2312" w:eastAsia="FangSong_GB2312" w:cs="FangSong_GB2312"/>
          <w:color w:val="auto"/>
          <w:kern w:val="0"/>
          <w:sz w:val="28"/>
          <w:szCs w:val="28"/>
          <w:highlight w:val="none"/>
          <w:lang w:val="en-US" w:eastAsia="zh-CN" w:bidi="ar"/>
        </w:rPr>
      </w:pPr>
      <w:r>
        <w:rPr>
          <w:rFonts w:hint="eastAsia" w:ascii="FangSong_GB2312" w:hAnsi="FangSong_GB2312" w:eastAsia="FangSong_GB2312" w:cs="FangSong_GB2312"/>
          <w:color w:val="auto"/>
          <w:kern w:val="0"/>
          <w:sz w:val="28"/>
          <w:szCs w:val="28"/>
          <w:highlight w:val="none"/>
          <w:lang w:val="en-US" w:eastAsia="zh-CN" w:bidi="ar"/>
        </w:rPr>
        <w:t>项目位于广东粤港澳大湾区国家纳米科技创新研究院（广州市黄埔区纳科西一街1号5号楼首层、三层和四层）</w:t>
      </w:r>
    </w:p>
    <w:p w14:paraId="4AB643DD">
      <w:pPr>
        <w:shd w:val="clear" w:color="auto" w:fill="auto"/>
        <w:ind w:firstLine="560"/>
        <w:jc w:val="both"/>
        <w:rPr>
          <w:color w:val="auto"/>
          <w:sz w:val="28"/>
          <w:highlight w:val="none"/>
        </w:rPr>
      </w:pPr>
      <w:r>
        <w:rPr>
          <w:color w:val="auto"/>
          <w:sz w:val="28"/>
          <w:highlight w:val="none"/>
        </w:rPr>
        <mc:AlternateContent>
          <mc:Choice Requires="wps">
            <w:drawing>
              <wp:anchor distT="0" distB="0" distL="114300" distR="114300" simplePos="0" relativeHeight="251659264" behindDoc="0" locked="0" layoutInCell="1" allowOverlap="1">
                <wp:simplePos x="0" y="0"/>
                <wp:positionH relativeFrom="column">
                  <wp:posOffset>968375</wp:posOffset>
                </wp:positionH>
                <wp:positionV relativeFrom="paragraph">
                  <wp:posOffset>1414145</wp:posOffset>
                </wp:positionV>
                <wp:extent cx="1095375" cy="398780"/>
                <wp:effectExtent l="6350" t="6350" r="22225" b="185420"/>
                <wp:wrapNone/>
                <wp:docPr id="14" name="矩形标注 14"/>
                <wp:cNvGraphicFramePr/>
                <a:graphic xmlns:a="http://schemas.openxmlformats.org/drawingml/2006/main">
                  <a:graphicData uri="http://schemas.microsoft.com/office/word/2010/wordprocessingShape">
                    <wps:wsp>
                      <wps:cNvSpPr/>
                      <wps:spPr>
                        <a:xfrm>
                          <a:off x="2070100" y="4909820"/>
                          <a:ext cx="1095375" cy="398780"/>
                        </a:xfrm>
                        <a:prstGeom prst="wedgeRectCallout">
                          <a:avLst>
                            <a:gd name="adj1" fmla="val 25362"/>
                            <a:gd name="adj2" fmla="val 94426"/>
                          </a:avLst>
                        </a:prstGeom>
                        <a:noFill/>
                        <a:ln w="12700" cap="flat" cmpd="sng" algn="ctr">
                          <a:solidFill>
                            <a:srgbClr val="000000"/>
                          </a:solidFill>
                          <a:prstDash val="solid"/>
                        </a:ln>
                        <a:effectLst/>
                      </wps:spPr>
                      <wps:txbx>
                        <w:txbxContent>
                          <w:p w14:paraId="3E59F19D">
                            <w:pPr>
                              <w:spacing w:line="240" w:lineRule="auto"/>
                              <w:ind w:left="0" w:leftChars="0" w:firstLine="0" w:firstLineChars="0"/>
                              <w:jc w:val="center"/>
                              <w:rPr>
                                <w:rFonts w:hint="default" w:eastAsia="宋体"/>
                                <w:b/>
                                <w:bCs/>
                                <w:color w:val="000000" w:themeColor="text1"/>
                                <w:sz w:val="44"/>
                                <w:szCs w:val="40"/>
                                <w:lang w:val="en-US" w:eastAsia="zh-CN"/>
                                <w14:textFill>
                                  <w14:solidFill>
                                    <w14:schemeClr w14:val="tx1"/>
                                  </w14:solidFill>
                                </w14:textFill>
                              </w:rPr>
                            </w:pPr>
                            <w:r>
                              <w:rPr>
                                <w:rFonts w:hint="eastAsia"/>
                                <w:b/>
                                <w:bCs/>
                                <w:color w:val="000000" w:themeColor="text1"/>
                                <w:sz w:val="24"/>
                                <w:szCs w:val="24"/>
                                <w:lang w:val="en-US" w:eastAsia="zh-CN"/>
                                <w14:textFill>
                                  <w14:solidFill>
                                    <w14:schemeClr w14:val="tx1"/>
                                  </w14:solidFill>
                                </w14:textFill>
                              </w:rPr>
                              <w:t>项目建设地</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76.25pt;margin-top:111.35pt;height:31.4pt;width:86.25pt;z-index:251659264;v-text-anchor:middle;mso-width-relative:page;mso-height-relative:page;" filled="f" stroked="t" coordsize="21600,21600" o:gfxdata="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" adj="16278,31196">
                <v:fill on="f" focussize="0,0"/>
                <v:stroke weight="1pt" color="#000000" joinstyle="round"/>
                <v:imagedata o:title=""/>
                <o:lock v:ext="edit" aspectratio="f"/>
                <v:textbox>
                  <w:txbxContent>
                    <w:p w14:paraId="3E59F19D">
                      <w:pPr>
                        <w:spacing w:line="240" w:lineRule="auto"/>
                        <w:ind w:left="0" w:leftChars="0" w:firstLine="0" w:firstLineChars="0"/>
                        <w:jc w:val="center"/>
                        <w:rPr>
                          <w:rFonts w:hint="default" w:eastAsia="宋体"/>
                          <w:b/>
                          <w:bCs/>
                          <w:color w:val="000000" w:themeColor="text1"/>
                          <w:sz w:val="44"/>
                          <w:szCs w:val="40"/>
                          <w:lang w:val="en-US" w:eastAsia="zh-CN"/>
                          <w14:textFill>
                            <w14:solidFill>
                              <w14:schemeClr w14:val="tx1"/>
                            </w14:solidFill>
                          </w14:textFill>
                        </w:rPr>
                      </w:pPr>
                      <w:r>
                        <w:rPr>
                          <w:rFonts w:hint="eastAsia"/>
                          <w:b/>
                          <w:bCs/>
                          <w:color w:val="000000" w:themeColor="text1"/>
                          <w:sz w:val="24"/>
                          <w:szCs w:val="24"/>
                          <w:lang w:val="en-US" w:eastAsia="zh-CN"/>
                          <w14:textFill>
                            <w14:solidFill>
                              <w14:schemeClr w14:val="tx1"/>
                            </w14:solidFill>
                          </w14:textFill>
                        </w:rPr>
                        <w:t>项目建设地</w:t>
                      </w:r>
                    </w:p>
                  </w:txbxContent>
                </v:textbox>
              </v:shape>
            </w:pict>
          </mc:Fallback>
        </mc:AlternateContent>
      </w:r>
      <w:r>
        <w:rPr>
          <w:color w:val="auto"/>
          <w:sz w:val="28"/>
          <w:highlight w:val="none"/>
        </w:rPr>
        <w:drawing>
          <wp:inline distT="0" distB="0" distL="114300" distR="114300">
            <wp:extent cx="4667250" cy="2647950"/>
            <wp:effectExtent l="0" t="0" r="0" b="0"/>
            <wp:docPr id="1" name="图片 1" descr="a0c412fc-d4ba-4e66-8fec-ae31242d946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c412fc-d4ba-4e66-8fec-ae31242d946c"/>
                    <pic:cNvPicPr>
                      <a:picLocks noChangeAspect="1"/>
                    </pic:cNvPicPr>
                  </pic:nvPicPr>
                  <pic:blipFill>
                    <a:blip r:embed="rId4"/>
                    <a:stretch>
                      <a:fillRect/>
                    </a:stretch>
                  </pic:blipFill>
                  <pic:spPr>
                    <a:xfrm>
                      <a:off x="0" y="0"/>
                      <a:ext cx="4667250" cy="2647950"/>
                    </a:xfrm>
                    <a:prstGeom prst="rect">
                      <a:avLst/>
                    </a:prstGeom>
                    <a:noFill/>
                    <a:ln>
                      <a:noFill/>
                    </a:ln>
                  </pic:spPr>
                </pic:pic>
              </a:graphicData>
            </a:graphic>
          </wp:inline>
        </w:drawing>
      </w:r>
    </w:p>
    <w:p w14:paraId="7BD26E93">
      <w:pPr>
        <w:shd w:val="clear" w:color="auto" w:fill="auto"/>
        <w:ind w:firstLine="3259" w:firstLineChars="1164"/>
        <w:jc w:val="both"/>
        <w:rPr>
          <w:rFonts w:hint="eastAsia" w:ascii="FangSong_GB2312" w:hAnsi="FangSong_GB2312" w:eastAsia="FangSong_GB2312" w:cs="FangSong_GB2312"/>
          <w:b w:val="0"/>
          <w:bCs w:val="0"/>
          <w:color w:val="auto"/>
          <w:kern w:val="0"/>
          <w:sz w:val="28"/>
          <w:szCs w:val="28"/>
          <w:highlight w:val="none"/>
          <w:lang w:val="en-US" w:bidi="ar"/>
        </w:rPr>
      </w:pPr>
      <w:r>
        <w:rPr>
          <w:rFonts w:hint="eastAsia" w:ascii="FangSong_GB2312" w:hAnsi="FangSong_GB2312" w:eastAsia="FangSong_GB2312" w:cs="FangSong_GB2312"/>
          <w:b w:val="0"/>
          <w:bCs w:val="0"/>
          <w:color w:val="auto"/>
          <w:kern w:val="0"/>
          <w:sz w:val="28"/>
          <w:szCs w:val="28"/>
          <w:highlight w:val="none"/>
          <w:lang w:bidi="ar"/>
        </w:rPr>
        <w:t>项目</w:t>
      </w:r>
      <w:r>
        <w:rPr>
          <w:rFonts w:hint="eastAsia" w:ascii="FangSong_GB2312" w:hAnsi="FangSong_GB2312" w:eastAsia="FangSong_GB2312" w:cs="FangSong_GB2312"/>
          <w:b w:val="0"/>
          <w:bCs w:val="0"/>
          <w:color w:val="auto"/>
          <w:kern w:val="0"/>
          <w:sz w:val="28"/>
          <w:szCs w:val="28"/>
          <w:highlight w:val="none"/>
          <w:lang w:val="en-US" w:eastAsia="zh-CN" w:bidi="ar"/>
        </w:rPr>
        <w:t>建设地位置图</w:t>
      </w:r>
    </w:p>
    <w:p w14:paraId="549246FA">
      <w:pPr>
        <w:shd w:val="clear" w:color="auto" w:fill="auto"/>
        <w:ind w:firstLine="560"/>
        <w:jc w:val="both"/>
        <w:rPr>
          <w:rFonts w:hint="eastAsia"/>
          <w:color w:val="auto"/>
          <w:sz w:val="28"/>
          <w:highlight w:val="none"/>
          <w:lang w:val="en-US" w:eastAsia="zh-CN"/>
        </w:rPr>
      </w:pPr>
    </w:p>
    <w:p w14:paraId="259451FB">
      <w:pPr>
        <w:widowControl/>
        <w:snapToGrid w:val="0"/>
        <w:spacing w:line="360" w:lineRule="auto"/>
        <w:jc w:val="left"/>
        <w:rPr>
          <w:rFonts w:ascii="仿宋" w:hAnsi="仿宋" w:eastAsia="仿宋" w:cs="仿宋"/>
          <w:b/>
          <w:bCs/>
          <w:color w:val="auto"/>
          <w:kern w:val="0"/>
          <w:sz w:val="32"/>
          <w:szCs w:val="32"/>
          <w:highlight w:val="none"/>
          <w:lang w:bidi="ar"/>
        </w:rPr>
      </w:pPr>
      <w:r>
        <w:rPr>
          <w:rFonts w:hint="eastAsia" w:ascii="仿宋" w:hAnsi="仿宋" w:eastAsia="仿宋" w:cs="仿宋"/>
          <w:b/>
          <w:bCs/>
          <w:color w:val="auto"/>
          <w:kern w:val="0"/>
          <w:sz w:val="32"/>
          <w:szCs w:val="32"/>
          <w:highlight w:val="none"/>
          <w:lang w:bidi="ar"/>
        </w:rPr>
        <w:t>二、项目基本信息</w:t>
      </w:r>
    </w:p>
    <w:p w14:paraId="54A06D76">
      <w:pPr>
        <w:pStyle w:val="3"/>
        <w:numPr>
          <w:ilvl w:val="0"/>
          <w:numId w:val="0"/>
        </w:numPr>
        <w:snapToGrid w:val="0"/>
        <w:spacing w:line="360" w:lineRule="auto"/>
        <w:rPr>
          <w:rFonts w:ascii="FangSong_GB2312" w:hAnsi="FangSong_GB2312" w:eastAsia="FangSong_GB2312" w:cs="FangSong_GB2312"/>
          <w:color w:val="auto"/>
          <w:szCs w:val="28"/>
          <w:highlight w:val="none"/>
        </w:rPr>
      </w:pPr>
      <w:r>
        <w:rPr>
          <w:rFonts w:hint="eastAsia" w:ascii="FangSong_GB2312" w:hAnsi="FangSong_GB2312" w:eastAsia="FangSong_GB2312" w:cs="FangSong_GB2312"/>
          <w:color w:val="auto"/>
          <w:szCs w:val="28"/>
          <w:highlight w:val="none"/>
        </w:rPr>
        <w:t>1.项目名称</w:t>
      </w:r>
    </w:p>
    <w:p w14:paraId="2DAFA9E7">
      <w:pPr>
        <w:pStyle w:val="3"/>
        <w:numPr>
          <w:ilvl w:val="0"/>
          <w:numId w:val="0"/>
        </w:numPr>
        <w:snapToGrid w:val="0"/>
        <w:spacing w:line="360" w:lineRule="auto"/>
        <w:ind w:firstLine="560" w:firstLineChars="200"/>
        <w:rPr>
          <w:rFonts w:hint="eastAsia" w:ascii="FangSong_GB2312" w:hAnsi="FangSong_GB2312" w:eastAsia="FangSong_GB2312" w:cs="FangSong_GB2312"/>
          <w:bCs w:val="0"/>
          <w:color w:val="auto"/>
          <w:sz w:val="28"/>
          <w:szCs w:val="28"/>
          <w:highlight w:val="none"/>
          <w:lang w:val="en-US" w:eastAsia="zh-CN" w:bidi="ar"/>
        </w:rPr>
      </w:pPr>
      <w:r>
        <w:rPr>
          <w:rFonts w:hint="eastAsia" w:ascii="FangSong_GB2312" w:hAnsi="FangSong_GB2312" w:eastAsia="FangSong_GB2312" w:cs="FangSong_GB2312"/>
          <w:bCs w:val="0"/>
          <w:color w:val="auto"/>
          <w:sz w:val="28"/>
          <w:szCs w:val="28"/>
          <w:highlight w:val="none"/>
          <w:lang w:val="en-US" w:eastAsia="zh-CN" w:bidi="ar"/>
        </w:rPr>
        <w:t>煤燃烧与低碳利用全国重点实验室广东能源分室基础支撑平台建设工程设计施工总承包项目</w:t>
      </w:r>
    </w:p>
    <w:p w14:paraId="68CD8D5A">
      <w:pPr>
        <w:pStyle w:val="3"/>
        <w:numPr>
          <w:ilvl w:val="0"/>
          <w:numId w:val="0"/>
        </w:numPr>
        <w:snapToGrid w:val="0"/>
        <w:spacing w:line="360" w:lineRule="auto"/>
        <w:rPr>
          <w:rFonts w:ascii="FangSong_GB2312" w:hAnsi="FangSong_GB2312" w:eastAsia="FangSong_GB2312" w:cs="FangSong_GB2312"/>
          <w:color w:val="auto"/>
          <w:szCs w:val="28"/>
          <w:highlight w:val="none"/>
        </w:rPr>
      </w:pPr>
      <w:r>
        <w:rPr>
          <w:rFonts w:hint="eastAsia" w:ascii="FangSong_GB2312" w:hAnsi="FangSong_GB2312" w:eastAsia="FangSong_GB2312" w:cs="FangSong_GB2312"/>
          <w:color w:val="auto"/>
          <w:szCs w:val="28"/>
          <w:highlight w:val="none"/>
        </w:rPr>
        <w:t>2.项目建设单位</w:t>
      </w:r>
    </w:p>
    <w:p w14:paraId="5F16D642">
      <w:pPr>
        <w:pStyle w:val="3"/>
        <w:numPr>
          <w:ilvl w:val="0"/>
          <w:numId w:val="0"/>
        </w:numPr>
        <w:snapToGrid w:val="0"/>
        <w:spacing w:line="360" w:lineRule="auto"/>
        <w:ind w:firstLine="263" w:firstLineChars="94"/>
        <w:rPr>
          <w:rFonts w:hint="eastAsia" w:ascii="FangSong_GB2312" w:hAnsi="FangSong_GB2312" w:eastAsia="FangSong_GB2312" w:cs="FangSong_GB2312"/>
          <w:bCs w:val="0"/>
          <w:color w:val="auto"/>
          <w:szCs w:val="28"/>
          <w:highlight w:val="none"/>
          <w:lang w:bidi="ar"/>
        </w:rPr>
      </w:pPr>
      <w:r>
        <w:rPr>
          <w:rFonts w:hint="eastAsia" w:ascii="FangSong_GB2312" w:hAnsi="FangSong_GB2312" w:eastAsia="FangSong_GB2312" w:cs="FangSong_GB2312"/>
          <w:bCs w:val="0"/>
          <w:color w:val="auto"/>
          <w:szCs w:val="28"/>
          <w:highlight w:val="none"/>
          <w:lang w:bidi="ar"/>
        </w:rPr>
        <w:t>广东省能源集团有限公司（以下简称</w:t>
      </w:r>
      <w:r>
        <w:rPr>
          <w:rFonts w:hint="eastAsia" w:ascii="FangSong_GB2312" w:hAnsi="FangSong_GB2312" w:eastAsia="FangSong_GB2312" w:cs="FangSong_GB2312"/>
          <w:bCs w:val="0"/>
          <w:color w:val="auto"/>
          <w:szCs w:val="28"/>
          <w:highlight w:val="none"/>
          <w:lang w:eastAsia="zh-CN" w:bidi="ar"/>
        </w:rPr>
        <w:t>“</w:t>
      </w:r>
      <w:r>
        <w:rPr>
          <w:rFonts w:hint="eastAsia" w:ascii="FangSong_GB2312" w:hAnsi="FangSong_GB2312" w:eastAsia="FangSong_GB2312" w:cs="FangSong_GB2312"/>
          <w:bCs w:val="0"/>
          <w:color w:val="auto"/>
          <w:szCs w:val="28"/>
          <w:highlight w:val="none"/>
          <w:lang w:val="en-US" w:eastAsia="zh-CN" w:bidi="ar"/>
        </w:rPr>
        <w:t>能源集团</w:t>
      </w:r>
      <w:r>
        <w:rPr>
          <w:rFonts w:hint="eastAsia" w:ascii="FangSong_GB2312" w:hAnsi="FangSong_GB2312" w:eastAsia="FangSong_GB2312" w:cs="FangSong_GB2312"/>
          <w:bCs w:val="0"/>
          <w:color w:val="auto"/>
          <w:szCs w:val="28"/>
          <w:highlight w:val="none"/>
          <w:lang w:eastAsia="zh-CN" w:bidi="ar"/>
        </w:rPr>
        <w:t>”</w:t>
      </w:r>
      <w:r>
        <w:rPr>
          <w:rFonts w:hint="eastAsia" w:ascii="FangSong_GB2312" w:hAnsi="FangSong_GB2312" w:eastAsia="FangSong_GB2312" w:cs="FangSong_GB2312"/>
          <w:bCs w:val="0"/>
          <w:color w:val="auto"/>
          <w:szCs w:val="28"/>
          <w:highlight w:val="none"/>
          <w:lang w:bidi="ar"/>
        </w:rPr>
        <w:t>）</w:t>
      </w:r>
    </w:p>
    <w:p w14:paraId="1F245B83">
      <w:pPr>
        <w:pStyle w:val="3"/>
        <w:numPr>
          <w:ilvl w:val="0"/>
          <w:numId w:val="2"/>
        </w:numPr>
        <w:snapToGrid w:val="0"/>
        <w:spacing w:line="360" w:lineRule="auto"/>
      </w:pPr>
      <w:r>
        <w:rPr>
          <w:rFonts w:hint="eastAsia" w:ascii="FangSong_GB2312" w:hAnsi="FangSong_GB2312" w:eastAsia="FangSong_GB2312" w:cs="FangSong_GB2312"/>
          <w:color w:val="auto"/>
          <w:spacing w:val="-2"/>
          <w:szCs w:val="28"/>
          <w:highlight w:val="none"/>
        </w:rPr>
        <w:t>项目总投</w:t>
      </w:r>
      <w:r>
        <w:rPr>
          <w:rFonts w:hint="eastAsia" w:ascii="FangSong_GB2312" w:hAnsi="FangSong_GB2312" w:eastAsia="FangSong_GB2312" w:cs="FangSong_GB2312"/>
          <w:color w:val="auto"/>
          <w:szCs w:val="28"/>
          <w:highlight w:val="none"/>
        </w:rPr>
        <w:t>资和资金来源</w:t>
      </w:r>
    </w:p>
    <w:p w14:paraId="7D3AADB2">
      <w:pPr>
        <w:bidi w:val="0"/>
        <w:ind w:firstLine="560" w:firstLineChars="200"/>
        <w:jc w:val="left"/>
        <w:rPr>
          <w:rFonts w:hint="eastAsia" w:ascii="FangSong_GB2312" w:hAnsi="FangSong_GB2312" w:eastAsia="FangSong_GB2312" w:cs="FangSong_GB2312"/>
          <w:color w:val="auto"/>
          <w:kern w:val="0"/>
          <w:sz w:val="28"/>
          <w:szCs w:val="28"/>
          <w:highlight w:val="none"/>
          <w:lang w:val="en-US" w:eastAsia="zh-CN" w:bidi="ar"/>
        </w:rPr>
      </w:pPr>
      <w:r>
        <w:rPr>
          <w:rFonts w:hint="eastAsia" w:ascii="FangSong_GB2312" w:hAnsi="FangSong_GB2312" w:eastAsia="FangSong_GB2312" w:cs="FangSong_GB2312"/>
          <w:color w:val="auto"/>
          <w:kern w:val="0"/>
          <w:sz w:val="28"/>
          <w:szCs w:val="28"/>
          <w:highlight w:val="none"/>
          <w:lang w:val="en-US" w:eastAsia="zh-CN" w:bidi="ar"/>
        </w:rPr>
        <w:t>项目总投资5400万元，其中：</w:t>
      </w:r>
      <w:r>
        <w:rPr>
          <w:rFonts w:hint="eastAsia" w:ascii="FangSong_GB2312" w:hAnsi="FangSong_GB2312" w:eastAsia="FangSong_GB2312" w:cs="FangSong_GB2312"/>
          <w:bCs w:val="0"/>
          <w:color w:val="auto"/>
          <w:kern w:val="2"/>
          <w:sz w:val="28"/>
          <w:szCs w:val="28"/>
          <w:highlight w:val="none"/>
          <w:lang w:val="en-US" w:eastAsia="zh-CN" w:bidi="ar"/>
        </w:rPr>
        <w:t>建设投资3956万元，前期运营费1444万元。建设投资包括：工程费用3156万元，工程建设其他费632万元，预备费169万元。资金来源于广东省能源集团有限公司专项经费。</w:t>
      </w:r>
    </w:p>
    <w:p w14:paraId="3BE9BAE4"/>
    <w:p w14:paraId="562D5CC4">
      <w:pPr>
        <w:pStyle w:val="3"/>
        <w:numPr>
          <w:ilvl w:val="0"/>
          <w:numId w:val="0"/>
        </w:numPr>
        <w:snapToGrid w:val="0"/>
        <w:spacing w:line="360" w:lineRule="auto"/>
        <w:ind w:left="720" w:hanging="720"/>
        <w:rPr>
          <w:rFonts w:ascii="FangSong_GB2312" w:hAnsi="FangSong_GB2312" w:eastAsia="FangSong_GB2312" w:cs="FangSong_GB2312"/>
          <w:color w:val="auto"/>
          <w:szCs w:val="28"/>
          <w:highlight w:val="none"/>
        </w:rPr>
      </w:pPr>
      <w:r>
        <w:rPr>
          <w:rFonts w:hint="eastAsia" w:ascii="FangSong_GB2312" w:hAnsi="FangSong_GB2312" w:eastAsia="FangSong_GB2312" w:cs="FangSong_GB2312"/>
          <w:color w:val="auto"/>
          <w:szCs w:val="28"/>
          <w:highlight w:val="none"/>
          <w:lang w:val="en-US" w:eastAsia="zh-CN"/>
        </w:rPr>
        <w:t>5.</w:t>
      </w:r>
      <w:r>
        <w:rPr>
          <w:rFonts w:hint="eastAsia" w:ascii="FangSong_GB2312" w:hAnsi="FangSong_GB2312" w:eastAsia="FangSong_GB2312" w:cs="FangSong_GB2312"/>
          <w:color w:val="auto"/>
          <w:szCs w:val="28"/>
          <w:highlight w:val="none"/>
        </w:rPr>
        <w:t>项目建设规模</w:t>
      </w:r>
    </w:p>
    <w:p w14:paraId="30A5FE4B">
      <w:pPr>
        <w:bidi w:val="0"/>
        <w:ind w:firstLine="560" w:firstLineChars="200"/>
        <w:jc w:val="left"/>
        <w:rPr>
          <w:rFonts w:hint="eastAsia" w:ascii="FangSong_GB2312" w:hAnsi="FangSong_GB2312" w:eastAsia="FangSong_GB2312" w:cs="FangSong_GB2312"/>
          <w:color w:val="auto"/>
          <w:kern w:val="0"/>
          <w:sz w:val="28"/>
          <w:szCs w:val="28"/>
          <w:highlight w:val="none"/>
          <w:lang w:bidi="ar"/>
        </w:rPr>
      </w:pPr>
      <w:r>
        <w:rPr>
          <w:rFonts w:hint="eastAsia" w:ascii="FangSong_GB2312" w:hAnsi="FangSong_GB2312" w:eastAsia="FangSong_GB2312" w:cs="FangSong_GB2312"/>
          <w:color w:val="auto"/>
          <w:kern w:val="0"/>
          <w:sz w:val="28"/>
          <w:szCs w:val="28"/>
          <w:highlight w:val="none"/>
          <w:lang w:val="en-US" w:eastAsia="zh-CN" w:bidi="ar"/>
        </w:rPr>
        <w:t>项目将</w:t>
      </w:r>
      <w:r>
        <w:rPr>
          <w:rFonts w:hint="eastAsia" w:ascii="FangSong_GB2312" w:hAnsi="FangSong_GB2312" w:eastAsia="FangSong_GB2312" w:cs="FangSong_GB2312"/>
          <w:color w:val="auto"/>
          <w:kern w:val="0"/>
          <w:sz w:val="28"/>
          <w:szCs w:val="28"/>
          <w:highlight w:val="none"/>
          <w:lang w:bidi="ar"/>
        </w:rPr>
        <w:t>规划建设一个集基础研究、技术开发、工程验证、成果转化于一体的综合性科研</w:t>
      </w:r>
      <w:r>
        <w:rPr>
          <w:rFonts w:hint="eastAsia" w:ascii="FangSong_GB2312" w:hAnsi="FangSong_GB2312" w:eastAsia="FangSong_GB2312" w:cs="FangSong_GB2312"/>
          <w:color w:val="auto"/>
          <w:kern w:val="0"/>
          <w:sz w:val="28"/>
          <w:szCs w:val="28"/>
          <w:highlight w:val="none"/>
          <w:lang w:val="en-US" w:eastAsia="zh-CN" w:bidi="ar"/>
        </w:rPr>
        <w:t>实验室</w:t>
      </w:r>
      <w:r>
        <w:rPr>
          <w:rFonts w:hint="eastAsia" w:ascii="FangSong_GB2312" w:hAnsi="FangSong_GB2312" w:eastAsia="FangSong_GB2312" w:cs="FangSong_GB2312"/>
          <w:color w:val="auto"/>
          <w:kern w:val="0"/>
          <w:sz w:val="28"/>
          <w:szCs w:val="28"/>
          <w:highlight w:val="none"/>
          <w:lang w:bidi="ar"/>
        </w:rPr>
        <w:t>。</w:t>
      </w:r>
    </w:p>
    <w:p w14:paraId="5914F11E">
      <w:pPr>
        <w:bidi w:val="0"/>
        <w:ind w:firstLine="560" w:firstLineChars="200"/>
        <w:jc w:val="left"/>
        <w:rPr>
          <w:rFonts w:hint="eastAsia" w:ascii="FangSong_GB2312" w:hAnsi="FangSong_GB2312" w:eastAsia="FangSong_GB2312" w:cs="FangSong_GB2312"/>
          <w:color w:val="auto"/>
          <w:kern w:val="0"/>
          <w:sz w:val="28"/>
          <w:szCs w:val="28"/>
          <w:highlight w:val="none"/>
          <w:lang w:val="en-US" w:eastAsia="zh-CN" w:bidi="ar"/>
        </w:rPr>
      </w:pPr>
      <w:r>
        <w:rPr>
          <w:rFonts w:hint="eastAsia" w:ascii="FangSong_GB2312" w:hAnsi="FangSong_GB2312" w:eastAsia="FangSong_GB2312" w:cs="FangSong_GB2312"/>
          <w:color w:val="auto"/>
          <w:kern w:val="0"/>
          <w:sz w:val="28"/>
          <w:szCs w:val="28"/>
          <w:highlight w:val="none"/>
          <w:lang w:val="en-US" w:eastAsia="zh-CN" w:bidi="ar"/>
        </w:rPr>
        <w:t>主要建设内容：项目拟在租赁建筑内首层、三层以及四层进行装修改造，建设成核心实验区以及公共配套服务区，并配置实验室专项工程。</w:t>
      </w:r>
    </w:p>
    <w:p w14:paraId="6A75F83F">
      <w:pPr>
        <w:bidi w:val="0"/>
        <w:ind w:firstLine="560" w:firstLineChars="200"/>
        <w:rPr>
          <w:rFonts w:hint="eastAsia" w:ascii="FangSong_GB2312" w:hAnsi="FangSong_GB2312" w:eastAsia="FangSong_GB2312" w:cs="FangSong_GB2312"/>
          <w:color w:val="auto"/>
          <w:kern w:val="0"/>
          <w:sz w:val="28"/>
          <w:szCs w:val="28"/>
          <w:highlight w:val="none"/>
          <w:lang w:val="en-US" w:eastAsia="zh-CN" w:bidi="ar"/>
        </w:rPr>
      </w:pPr>
      <w:r>
        <w:rPr>
          <w:rFonts w:hint="eastAsia" w:ascii="FangSong_GB2312" w:hAnsi="FangSong_GB2312" w:eastAsia="FangSong_GB2312" w:cs="FangSong_GB2312"/>
          <w:color w:val="auto"/>
          <w:kern w:val="0"/>
          <w:sz w:val="28"/>
          <w:szCs w:val="28"/>
          <w:highlight w:val="none"/>
          <w:lang w:val="en-US" w:eastAsia="zh-CN" w:bidi="ar"/>
        </w:rPr>
        <w:t>建设规模：改造总建筑面积9675.53平方米，其中：核心实验区建筑面积约6821.71平方米，公共配套服务区建筑面积约2853.82平方米。</w:t>
      </w:r>
    </w:p>
    <w:p w14:paraId="378C1FAF">
      <w:pPr>
        <w:widowControl/>
        <w:ind w:firstLine="560" w:firstLineChars="200"/>
        <w:jc w:val="left"/>
        <w:rPr>
          <w:rFonts w:hint="eastAsia" w:ascii="FangSong_GB2312" w:hAnsi="FangSong_GB2312" w:eastAsia="FangSong_GB2312" w:cs="FangSong_GB2312"/>
          <w:color w:val="auto"/>
          <w:kern w:val="0"/>
          <w:sz w:val="28"/>
          <w:szCs w:val="28"/>
          <w:highlight w:val="none"/>
          <w:lang w:val="en-US" w:eastAsia="zh-CN" w:bidi="ar"/>
        </w:rPr>
      </w:pPr>
      <w:r>
        <w:rPr>
          <w:rFonts w:hint="eastAsia" w:ascii="FangSong_GB2312" w:hAnsi="FangSong_GB2312" w:eastAsia="FangSong_GB2312" w:cs="FangSong_GB2312"/>
          <w:color w:val="auto"/>
          <w:kern w:val="0"/>
          <w:sz w:val="28"/>
          <w:szCs w:val="28"/>
          <w:highlight w:val="none"/>
          <w:lang w:val="en-US" w:eastAsia="zh-CN" w:bidi="ar"/>
        </w:rPr>
        <w:t>备注：各楼层电梯间、强电井等公共面积不在本次改造范围内。</w:t>
      </w:r>
    </w:p>
    <w:p w14:paraId="132170B5">
      <w:pPr>
        <w:pStyle w:val="4"/>
        <w:rPr>
          <w:rFonts w:ascii="仿宋" w:hAnsi="仿宋" w:eastAsia="仿宋" w:cs="仿宋"/>
          <w:b/>
          <w:bCs/>
          <w:color w:val="auto"/>
          <w:sz w:val="32"/>
          <w:szCs w:val="32"/>
          <w:highlight w:val="none"/>
          <w:lang w:val="en-US"/>
        </w:rPr>
      </w:pPr>
      <w:r>
        <w:rPr>
          <w:rFonts w:hint="eastAsia" w:ascii="仿宋" w:hAnsi="仿宋" w:eastAsia="仿宋" w:cs="仿宋"/>
          <w:b/>
          <w:bCs/>
          <w:color w:val="auto"/>
          <w:sz w:val="32"/>
          <w:szCs w:val="32"/>
          <w:highlight w:val="none"/>
          <w:lang w:val="en-US"/>
        </w:rPr>
        <w:t>三、设计阶段与服务内容</w:t>
      </w:r>
    </w:p>
    <w:p w14:paraId="6E5B8A52">
      <w:pPr>
        <w:pStyle w:val="4"/>
        <w:snapToGrid w:val="0"/>
        <w:spacing w:line="360" w:lineRule="auto"/>
        <w:rPr>
          <w:rFonts w:ascii="FangSong_GB2312" w:hAnsi="FangSong_GB2312" w:eastAsia="FangSong_GB2312" w:cs="FangSong_GB2312"/>
          <w:b/>
          <w:bCs/>
          <w:color w:val="auto"/>
          <w:sz w:val="28"/>
          <w:szCs w:val="28"/>
          <w:highlight w:val="none"/>
          <w:lang w:val="en-US"/>
        </w:rPr>
      </w:pPr>
      <w:r>
        <w:rPr>
          <w:rFonts w:hint="eastAsia" w:ascii="FangSong_GB2312" w:hAnsi="FangSong_GB2312" w:eastAsia="FangSong_GB2312" w:cs="FangSong_GB2312"/>
          <w:b/>
          <w:bCs/>
          <w:color w:val="auto"/>
          <w:sz w:val="28"/>
          <w:szCs w:val="28"/>
          <w:highlight w:val="none"/>
          <w:lang w:val="en-US" w:eastAsia="zh-CN"/>
        </w:rPr>
        <w:t>1</w:t>
      </w:r>
      <w:r>
        <w:rPr>
          <w:rFonts w:hint="eastAsia" w:ascii="FangSong_GB2312" w:hAnsi="FangSong_GB2312" w:eastAsia="FangSong_GB2312" w:cs="FangSong_GB2312"/>
          <w:b/>
          <w:bCs/>
          <w:color w:val="auto"/>
          <w:sz w:val="28"/>
          <w:szCs w:val="28"/>
          <w:highlight w:val="none"/>
          <w:lang w:val="en-US"/>
        </w:rPr>
        <w:t>.设计范围、阶段与服务内容：</w:t>
      </w:r>
    </w:p>
    <w:p w14:paraId="0649D704">
      <w:pPr>
        <w:pStyle w:val="4"/>
        <w:snapToGrid w:val="0"/>
        <w:spacing w:line="360" w:lineRule="auto"/>
        <w:ind w:firstLine="560" w:firstLineChars="200"/>
        <w:rPr>
          <w:rFonts w:hint="eastAsia"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详设计任务书第三章。</w:t>
      </w:r>
    </w:p>
    <w:p w14:paraId="2B11496C">
      <w:pPr>
        <w:pStyle w:val="4"/>
        <w:snapToGrid w:val="0"/>
        <w:spacing w:line="360" w:lineRule="auto"/>
        <w:ind w:firstLine="560" w:firstLineChars="200"/>
        <w:rPr>
          <w:rFonts w:hint="eastAsia" w:ascii="FangSong_GB2312" w:hAnsi="FangSong_GB2312" w:eastAsia="FangSong_GB2312" w:cs="FangSong_GB2312"/>
          <w:color w:val="auto"/>
          <w:sz w:val="28"/>
          <w:szCs w:val="28"/>
          <w:highlight w:val="none"/>
          <w:lang w:val="en-US"/>
        </w:rPr>
      </w:pPr>
    </w:p>
    <w:p w14:paraId="5615CFF7">
      <w:pPr>
        <w:pStyle w:val="4"/>
        <w:snapToGrid w:val="0"/>
        <w:spacing w:line="360" w:lineRule="auto"/>
        <w:ind w:firstLine="560" w:firstLineChars="200"/>
        <w:rPr>
          <w:rFonts w:hint="eastAsia" w:ascii="FangSong_GB2312" w:hAnsi="FangSong_GB2312" w:eastAsia="FangSong_GB2312" w:cs="FangSong_GB2312"/>
          <w:color w:val="auto"/>
          <w:sz w:val="28"/>
          <w:szCs w:val="28"/>
          <w:highlight w:val="none"/>
          <w:lang w:val="en-US"/>
        </w:rPr>
        <w:sectPr>
          <w:pgSz w:w="11906" w:h="16838"/>
          <w:pgMar w:top="1440" w:right="1800" w:bottom="1440" w:left="1800" w:header="851" w:footer="992" w:gutter="0"/>
          <w:cols w:space="720" w:num="1"/>
          <w:docGrid w:type="lines" w:linePitch="312" w:charSpace="0"/>
        </w:sectPr>
      </w:pPr>
    </w:p>
    <w:p w14:paraId="6EDE20A6">
      <w:pPr>
        <w:pStyle w:val="2"/>
        <w:numPr>
          <w:ilvl w:val="0"/>
          <w:numId w:val="3"/>
        </w:numPr>
        <w:ind w:left="0" w:firstLine="0"/>
        <w:rPr>
          <w:color w:val="auto"/>
          <w:highlight w:val="none"/>
        </w:rPr>
      </w:pPr>
      <w:r>
        <w:rPr>
          <w:rFonts w:hint="eastAsia"/>
          <w:color w:val="auto"/>
          <w:highlight w:val="none"/>
        </w:rPr>
        <w:t>设计依据</w:t>
      </w:r>
    </w:p>
    <w:p w14:paraId="11D06458">
      <w:pPr>
        <w:pStyle w:val="3"/>
        <w:numPr>
          <w:ilvl w:val="0"/>
          <w:numId w:val="0"/>
        </w:numPr>
        <w:snapToGrid w:val="0"/>
        <w:spacing w:before="156" w:after="156" w:line="360" w:lineRule="auto"/>
        <w:rPr>
          <w:rFonts w:ascii="仿宋" w:hAnsi="仿宋" w:eastAsia="仿宋" w:cs="仿宋"/>
          <w:b/>
          <w:bCs w:val="0"/>
          <w:color w:val="auto"/>
          <w:sz w:val="32"/>
          <w:highlight w:val="none"/>
        </w:rPr>
      </w:pPr>
      <w:r>
        <w:rPr>
          <w:rFonts w:hint="eastAsia" w:ascii="仿宋" w:hAnsi="仿宋" w:eastAsia="仿宋" w:cs="仿宋"/>
          <w:b/>
          <w:bCs w:val="0"/>
          <w:color w:val="auto"/>
          <w:sz w:val="32"/>
          <w:highlight w:val="none"/>
        </w:rPr>
        <w:t>一、现行法律法规</w:t>
      </w:r>
    </w:p>
    <w:p w14:paraId="7D74759A">
      <w:pPr>
        <w:snapToGrid w:val="0"/>
        <w:spacing w:line="360" w:lineRule="auto"/>
        <w:ind w:right="278" w:firstLine="560" w:firstLineChars="20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国家和广东省、广州市关于工程建设强制性标准、抗震防灾要求，及有关土地管理、水土保持、文物保护、地铁保护、消防安全、人防、卫生防疫、节能环保措施、防雷等法律、法规和行业相关的最新规定等。</w:t>
      </w:r>
    </w:p>
    <w:p w14:paraId="464D4D6A">
      <w:pPr>
        <w:snapToGrid w:val="0"/>
        <w:spacing w:line="360" w:lineRule="auto"/>
        <w:ind w:firstLine="560" w:firstLineChars="20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国家和广东省、广州市、白云区现行的有关法律、条例、规范的规定（包括但不限于）：</w:t>
      </w:r>
    </w:p>
    <w:p w14:paraId="222D346A">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rPr>
        <w:t>《中华人民共和国建筑法》</w:t>
      </w:r>
      <w:r>
        <w:rPr>
          <w:rFonts w:hint="eastAsia" w:ascii="FangSong_GB2312" w:hAnsi="FangSong_GB2312" w:eastAsia="FangSong_GB2312" w:cs="FangSong_GB2312"/>
          <w:color w:val="auto"/>
          <w:sz w:val="28"/>
          <w:szCs w:val="28"/>
          <w:highlight w:val="none"/>
          <w:lang w:eastAsia="zh-CN"/>
        </w:rPr>
        <w:t>（</w:t>
      </w:r>
      <w:r>
        <w:rPr>
          <w:rFonts w:hint="eastAsia" w:ascii="FangSong_GB2312" w:hAnsi="FangSong_GB2312" w:eastAsia="FangSong_GB2312" w:cs="FangSong_GB2312"/>
          <w:color w:val="auto"/>
          <w:sz w:val="28"/>
          <w:szCs w:val="28"/>
          <w:highlight w:val="none"/>
        </w:rPr>
        <w:t>201</w:t>
      </w:r>
      <w:r>
        <w:rPr>
          <w:rFonts w:hint="eastAsia" w:ascii="FangSong_GB2312" w:hAnsi="FangSong_GB2312" w:eastAsia="FangSong_GB2312" w:cs="FangSong_GB2312"/>
          <w:color w:val="auto"/>
          <w:sz w:val="28"/>
          <w:szCs w:val="28"/>
          <w:highlight w:val="none"/>
          <w:lang w:val="en-US" w:eastAsia="zh-CN"/>
        </w:rPr>
        <w:t>9</w:t>
      </w:r>
      <w:r>
        <w:rPr>
          <w:rFonts w:hint="eastAsia" w:ascii="FangSong_GB2312" w:hAnsi="FangSong_GB2312" w:eastAsia="FangSong_GB2312" w:cs="FangSong_GB2312"/>
          <w:color w:val="auto"/>
          <w:sz w:val="28"/>
          <w:szCs w:val="28"/>
          <w:highlight w:val="none"/>
        </w:rPr>
        <w:t>版</w:t>
      </w:r>
      <w:r>
        <w:rPr>
          <w:rFonts w:hint="eastAsia" w:ascii="FangSong_GB2312" w:hAnsi="FangSong_GB2312" w:eastAsia="FangSong_GB2312" w:cs="FangSong_GB2312"/>
          <w:color w:val="auto"/>
          <w:sz w:val="28"/>
          <w:szCs w:val="28"/>
          <w:highlight w:val="none"/>
          <w:lang w:eastAsia="zh-CN"/>
        </w:rPr>
        <w:t>）；</w:t>
      </w:r>
    </w:p>
    <w:p w14:paraId="53804FA3">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《建筑设计防火规范》GB 50016-2014 （2018年版）</w:t>
      </w:r>
    </w:p>
    <w:p w14:paraId="703502AE">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《建筑防火通用规范》CB 55037-2022</w:t>
      </w:r>
    </w:p>
    <w:p w14:paraId="2FA73508">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《民用建筑通用规范》GB 55031-2022；</w:t>
      </w:r>
    </w:p>
    <w:p w14:paraId="55C90ECA">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val="en-US" w:eastAsia="zh-CN"/>
        </w:rPr>
        <w:fldChar w:fldCharType="begin"/>
      </w:r>
      <w:r>
        <w:rPr>
          <w:rFonts w:hint="eastAsia" w:ascii="FangSong_GB2312" w:hAnsi="FangSong_GB2312" w:eastAsia="FangSong_GB2312" w:cs="FangSong_GB2312"/>
          <w:color w:val="auto"/>
          <w:sz w:val="28"/>
          <w:szCs w:val="28"/>
          <w:highlight w:val="none"/>
          <w:lang w:val="en-US" w:eastAsia="zh-CN"/>
        </w:rPr>
        <w:instrText xml:space="preserve"> HYPERLINK "https://www.soujianzhu.cn/NormAndRules/gfnr.aspx?id=386" \t "https://www.soujianzhu.cn/NormAndRules/_blank" </w:instrText>
      </w:r>
      <w:r>
        <w:rPr>
          <w:rFonts w:hint="eastAsia" w:ascii="FangSong_GB2312" w:hAnsi="FangSong_GB2312" w:eastAsia="FangSong_GB2312" w:cs="FangSong_GB2312"/>
          <w:color w:val="auto"/>
          <w:sz w:val="28"/>
          <w:szCs w:val="28"/>
          <w:highlight w:val="none"/>
          <w:lang w:val="en-US" w:eastAsia="zh-CN"/>
        </w:rPr>
        <w:fldChar w:fldCharType="separate"/>
      </w:r>
      <w:r>
        <w:rPr>
          <w:rFonts w:hint="eastAsia" w:ascii="FangSong_GB2312" w:hAnsi="FangSong_GB2312" w:eastAsia="FangSong_GB2312" w:cs="FangSong_GB2312"/>
          <w:color w:val="auto"/>
          <w:sz w:val="28"/>
          <w:szCs w:val="28"/>
          <w:highlight w:val="none"/>
          <w:lang w:val="en-US" w:eastAsia="zh-CN"/>
        </w:rPr>
        <w:t>《民用建筑设计统一标准》GB 50352-2019</w:t>
      </w:r>
      <w:r>
        <w:rPr>
          <w:rFonts w:hint="eastAsia" w:ascii="FangSong_GB2312" w:hAnsi="FangSong_GB2312" w:eastAsia="FangSong_GB2312" w:cs="FangSong_GB2312"/>
          <w:color w:val="auto"/>
          <w:sz w:val="28"/>
          <w:szCs w:val="28"/>
          <w:highlight w:val="none"/>
          <w:lang w:val="en-US" w:eastAsia="zh-CN"/>
        </w:rPr>
        <w:fldChar w:fldCharType="end"/>
      </w:r>
      <w:r>
        <w:rPr>
          <w:rFonts w:hint="eastAsia" w:ascii="FangSong_GB2312" w:hAnsi="FangSong_GB2312" w:eastAsia="FangSong_GB2312" w:cs="FangSong_GB2312"/>
          <w:color w:val="auto"/>
          <w:sz w:val="28"/>
          <w:szCs w:val="28"/>
          <w:highlight w:val="none"/>
          <w:lang w:val="en-US" w:eastAsia="zh-CN"/>
        </w:rPr>
        <w:t>；</w:t>
      </w:r>
    </w:p>
    <w:p w14:paraId="7CACDD2E">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eastAsia="zh-CN"/>
        </w:rPr>
        <w:t>《建筑内部装修设计防火规范》CB 50222-2017；</w:t>
      </w:r>
    </w:p>
    <w:p w14:paraId="781C82CD">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eastAsia="zh-CN"/>
        </w:rPr>
        <w:t>《全国民用建筑工程设计技术措施》(建筑·装修)2009JSCS-1；</w:t>
      </w:r>
    </w:p>
    <w:p w14:paraId="6A7CFB81">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《民用建筑工程室内环境污染控制标准》GB 50325-2020</w:t>
      </w:r>
      <w:r>
        <w:rPr>
          <w:rFonts w:hint="eastAsia" w:ascii="FangSong_GB2312" w:hAnsi="FangSong_GB2312" w:eastAsia="FangSong_GB2312" w:cs="FangSong_GB2312"/>
          <w:color w:val="auto"/>
          <w:sz w:val="28"/>
          <w:szCs w:val="28"/>
          <w:highlight w:val="none"/>
          <w:lang w:eastAsia="zh-CN"/>
        </w:rPr>
        <w:t>；</w:t>
      </w:r>
    </w:p>
    <w:p w14:paraId="514DC460">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rPr>
        <w:t>《建筑工程施工质量验收统一标准》</w:t>
      </w:r>
      <w:r>
        <w:rPr>
          <w:rFonts w:hint="eastAsia" w:ascii="FangSong_GB2312" w:hAnsi="FangSong_GB2312" w:eastAsia="FangSong_GB2312" w:cs="FangSong_GB2312"/>
          <w:color w:val="auto"/>
          <w:sz w:val="28"/>
          <w:szCs w:val="28"/>
          <w:highlight w:val="none"/>
          <w:lang w:eastAsia="zh-CN"/>
        </w:rPr>
        <w:t>GB 50300-2021；</w:t>
      </w:r>
    </w:p>
    <w:p w14:paraId="02C5B9E5">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eastAsia="zh-CN"/>
        </w:rPr>
        <w:t>《建筑装饰装修工程质量验收标准》GB 50210-2018；</w:t>
      </w:r>
    </w:p>
    <w:p w14:paraId="3BA5D010">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eastAsia="zh-CN"/>
        </w:rPr>
        <w:t>《混凝土结构设计规范》（2015年版）CB 50010-2010；</w:t>
      </w:r>
    </w:p>
    <w:p w14:paraId="66F75F0B">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eastAsia="zh-CN"/>
        </w:rPr>
        <w:t>《砌体结构设计规范》GB 50003-2011；</w:t>
      </w:r>
    </w:p>
    <w:p w14:paraId="3DEA8356">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lang w:eastAsia="zh-CN"/>
        </w:rPr>
        <w:t>《砌体结构工程施工质量验收规范》CB 50203-2011；</w:t>
      </w:r>
    </w:p>
    <w:p w14:paraId="11665B00">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《无障碍设计规范》GB50763-2012</w:t>
      </w:r>
      <w:r>
        <w:rPr>
          <w:rFonts w:hint="eastAsia" w:ascii="FangSong_GB2312" w:hAnsi="FangSong_GB2312" w:eastAsia="FangSong_GB2312" w:cs="FangSong_GB2312"/>
          <w:color w:val="auto"/>
          <w:sz w:val="28"/>
          <w:szCs w:val="28"/>
          <w:highlight w:val="none"/>
          <w:lang w:eastAsia="zh-CN"/>
        </w:rPr>
        <w:t>；</w:t>
      </w:r>
    </w:p>
    <w:p w14:paraId="06F79334">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《无障碍设施施工验收及维护规范》GB50642-2011</w:t>
      </w:r>
      <w:r>
        <w:rPr>
          <w:rFonts w:hint="eastAsia" w:ascii="FangSong_GB2312" w:hAnsi="FangSong_GB2312" w:eastAsia="FangSong_GB2312" w:cs="FangSong_GB2312"/>
          <w:color w:val="auto"/>
          <w:sz w:val="28"/>
          <w:szCs w:val="28"/>
          <w:highlight w:val="none"/>
          <w:lang w:eastAsia="zh-CN"/>
        </w:rPr>
        <w:t>；</w:t>
      </w:r>
    </w:p>
    <w:p w14:paraId="739EA1F4">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lang w:val="en-US" w:eastAsia="zh-CN"/>
        </w:rPr>
        <w:t>《建筑与市政工程无障碍通用规范》GB 55019-2021</w:t>
      </w:r>
      <w:r>
        <w:rPr>
          <w:rFonts w:hint="eastAsia" w:ascii="FangSong_GB2312" w:hAnsi="FangSong_GB2312" w:eastAsia="FangSong_GB2312" w:cs="FangSong_GB2312"/>
          <w:color w:val="auto"/>
          <w:sz w:val="28"/>
          <w:szCs w:val="28"/>
          <w:highlight w:val="none"/>
          <w:lang w:eastAsia="zh-CN"/>
        </w:rPr>
        <w:t>；</w:t>
      </w:r>
    </w:p>
    <w:p w14:paraId="7B33F16F">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《建筑地面工程防滑技术规程》JGJ/T 331-2014</w:t>
      </w:r>
      <w:r>
        <w:rPr>
          <w:rFonts w:hint="eastAsia" w:ascii="FangSong_GB2312" w:hAnsi="FangSong_GB2312" w:eastAsia="FangSong_GB2312" w:cs="FangSong_GB2312"/>
          <w:color w:val="auto"/>
          <w:sz w:val="28"/>
          <w:szCs w:val="28"/>
          <w:highlight w:val="none"/>
          <w:lang w:eastAsia="zh-CN"/>
        </w:rPr>
        <w:t>；</w:t>
      </w:r>
    </w:p>
    <w:p w14:paraId="5A0866F1">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《建筑与市政工程防水通用规范》CB 55030-2022</w:t>
      </w:r>
      <w:r>
        <w:rPr>
          <w:rFonts w:hint="eastAsia" w:ascii="FangSong_GB2312" w:hAnsi="FangSong_GB2312" w:eastAsia="FangSong_GB2312" w:cs="FangSong_GB2312"/>
          <w:color w:val="auto"/>
          <w:sz w:val="28"/>
          <w:szCs w:val="28"/>
          <w:highlight w:val="none"/>
          <w:lang w:eastAsia="zh-CN"/>
        </w:rPr>
        <w:t>；</w:t>
      </w:r>
    </w:p>
    <w:p w14:paraId="187D20A0">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《消防设施通用规范》CB 55036-2022</w:t>
      </w:r>
      <w:r>
        <w:rPr>
          <w:rFonts w:hint="eastAsia" w:ascii="FangSong_GB2312" w:hAnsi="FangSong_GB2312" w:eastAsia="FangSong_GB2312" w:cs="FangSong_GB2312"/>
          <w:color w:val="auto"/>
          <w:sz w:val="28"/>
          <w:szCs w:val="28"/>
          <w:highlight w:val="none"/>
          <w:lang w:eastAsia="zh-CN"/>
        </w:rPr>
        <w:t>；</w:t>
      </w:r>
    </w:p>
    <w:p w14:paraId="52760487">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《建筑环境通用规范》</w:t>
      </w:r>
      <w:r>
        <w:rPr>
          <w:rFonts w:hint="eastAsia" w:ascii="FangSong_GB2312" w:hAnsi="FangSong_GB2312" w:eastAsia="FangSong_GB2312" w:cs="FangSong_GB2312"/>
          <w:color w:val="auto"/>
          <w:sz w:val="28"/>
          <w:szCs w:val="28"/>
          <w:highlight w:val="none"/>
          <w:lang w:eastAsia="zh-CN"/>
        </w:rPr>
        <w:t>（</w:t>
      </w:r>
      <w:r>
        <w:rPr>
          <w:rFonts w:hint="eastAsia" w:ascii="FangSong_GB2312" w:hAnsi="FangSong_GB2312" w:eastAsia="FangSong_GB2312" w:cs="FangSong_GB2312"/>
          <w:color w:val="auto"/>
          <w:sz w:val="28"/>
          <w:szCs w:val="28"/>
          <w:highlight w:val="none"/>
        </w:rPr>
        <w:t>GB 55016-2021</w:t>
      </w:r>
      <w:r>
        <w:rPr>
          <w:rFonts w:hint="eastAsia" w:ascii="FangSong_GB2312" w:hAnsi="FangSong_GB2312" w:eastAsia="FangSong_GB2312" w:cs="FangSong_GB2312"/>
          <w:color w:val="auto"/>
          <w:sz w:val="28"/>
          <w:szCs w:val="28"/>
          <w:highlight w:val="none"/>
          <w:lang w:eastAsia="zh-CN"/>
        </w:rPr>
        <w:t>）；</w:t>
      </w:r>
    </w:p>
    <w:p w14:paraId="7C737083">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rPr>
        <w:t>《安全防范工程通用规范》</w:t>
      </w:r>
      <w:r>
        <w:rPr>
          <w:rFonts w:hint="eastAsia" w:ascii="FangSong_GB2312" w:hAnsi="FangSong_GB2312" w:eastAsia="FangSong_GB2312" w:cs="FangSong_GB2312"/>
          <w:color w:val="auto"/>
          <w:sz w:val="28"/>
          <w:szCs w:val="28"/>
          <w:highlight w:val="none"/>
          <w:lang w:eastAsia="zh-CN"/>
        </w:rPr>
        <w:t>（</w:t>
      </w:r>
      <w:r>
        <w:rPr>
          <w:rFonts w:hint="eastAsia" w:ascii="FangSong_GB2312" w:hAnsi="FangSong_GB2312" w:eastAsia="FangSong_GB2312" w:cs="FangSong_GB2312"/>
          <w:color w:val="auto"/>
          <w:sz w:val="28"/>
          <w:szCs w:val="28"/>
          <w:highlight w:val="none"/>
        </w:rPr>
        <w:t>GB 55029-2022</w:t>
      </w:r>
      <w:r>
        <w:rPr>
          <w:rFonts w:hint="eastAsia" w:ascii="FangSong_GB2312" w:hAnsi="FangSong_GB2312" w:eastAsia="FangSong_GB2312" w:cs="FangSong_GB2312"/>
          <w:color w:val="auto"/>
          <w:sz w:val="28"/>
          <w:szCs w:val="28"/>
          <w:highlight w:val="none"/>
          <w:lang w:eastAsia="zh-CN"/>
        </w:rPr>
        <w:t>）；</w:t>
      </w:r>
    </w:p>
    <w:p w14:paraId="2A68748B">
      <w:pPr>
        <w:keepNext w:val="0"/>
        <w:keepLines w:val="0"/>
        <w:pageBreakBefore w:val="0"/>
        <w:widowControl/>
        <w:numPr>
          <w:ilvl w:val="0"/>
          <w:numId w:val="4"/>
        </w:numPr>
        <w:kinsoku/>
        <w:wordWrap/>
        <w:overflowPunct/>
        <w:topLinePunct w:val="0"/>
        <w:autoSpaceDE/>
        <w:autoSpaceDN/>
        <w:bidi w:val="0"/>
        <w:adjustRightInd/>
        <w:snapToGrid w:val="0"/>
        <w:spacing w:line="360" w:lineRule="auto"/>
        <w:ind w:left="425" w:hanging="425" w:firstLineChars="0"/>
        <w:textAlignment w:val="auto"/>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《既有建筑维护与改造通用规范[附条文说明]》GB 55022-2021</w:t>
      </w:r>
    </w:p>
    <w:p w14:paraId="77FD40D2">
      <w:pPr>
        <w:pStyle w:val="8"/>
        <w:snapToGrid w:val="0"/>
        <w:ind w:firstLine="0" w:firstLineChars="0"/>
        <w:rPr>
          <w:rFonts w:eastAsia="宋体"/>
          <w:color w:val="auto"/>
          <w:highlight w:val="none"/>
        </w:rPr>
      </w:pPr>
    </w:p>
    <w:p w14:paraId="491CD4EE">
      <w:pPr>
        <w:pStyle w:val="3"/>
        <w:numPr>
          <w:ilvl w:val="0"/>
          <w:numId w:val="0"/>
        </w:numPr>
        <w:snapToGrid w:val="0"/>
        <w:spacing w:line="360" w:lineRule="auto"/>
        <w:rPr>
          <w:rFonts w:ascii="仿宋" w:hAnsi="仿宋" w:eastAsia="仿宋" w:cs="仿宋"/>
          <w:b/>
          <w:bCs w:val="0"/>
          <w:color w:val="auto"/>
          <w:sz w:val="32"/>
          <w:highlight w:val="none"/>
        </w:rPr>
      </w:pPr>
      <w:r>
        <w:rPr>
          <w:rFonts w:hint="eastAsia" w:ascii="仿宋" w:hAnsi="仿宋" w:eastAsia="仿宋" w:cs="仿宋"/>
          <w:b/>
          <w:bCs w:val="0"/>
          <w:color w:val="auto"/>
          <w:sz w:val="32"/>
          <w:highlight w:val="none"/>
        </w:rPr>
        <w:t>二、行业标准</w:t>
      </w:r>
    </w:p>
    <w:p w14:paraId="5238AB60">
      <w:pPr>
        <w:snapToGrid w:val="0"/>
        <w:spacing w:line="360" w:lineRule="auto"/>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《绿色建筑评价标准》以最新出版为准；</w:t>
      </w:r>
    </w:p>
    <w:p w14:paraId="7DA97035">
      <w:pPr>
        <w:snapToGrid w:val="0"/>
        <w:spacing w:line="360" w:lineRule="auto"/>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《广东省绿色建筑评价标准》以最新出版为准；</w:t>
      </w:r>
    </w:p>
    <w:p w14:paraId="75DFE12D">
      <w:pPr>
        <w:snapToGrid w:val="0"/>
        <w:spacing w:line="360" w:lineRule="auto"/>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《广州市城乡规划技术规定》；</w:t>
      </w:r>
    </w:p>
    <w:p w14:paraId="5218DD4D">
      <w:pPr>
        <w:snapToGrid w:val="0"/>
        <w:spacing w:line="360" w:lineRule="auto"/>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《广东省人民政府办公厅关于海绵城市建设的实施意见》 ；</w:t>
      </w:r>
    </w:p>
    <w:p w14:paraId="332FD85B">
      <w:pPr>
        <w:snapToGrid w:val="0"/>
        <w:spacing w:line="360" w:lineRule="auto"/>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《广州市建设项目（建筑与小区）海绵城市建设施工图审查要点（试行）》等。</w:t>
      </w:r>
    </w:p>
    <w:p w14:paraId="6E81F85A">
      <w:pPr>
        <w:pStyle w:val="3"/>
        <w:numPr>
          <w:ilvl w:val="0"/>
          <w:numId w:val="0"/>
        </w:numPr>
        <w:snapToGrid w:val="0"/>
        <w:spacing w:line="360" w:lineRule="auto"/>
        <w:rPr>
          <w:rFonts w:ascii="仿宋" w:hAnsi="仿宋" w:eastAsia="仿宋" w:cs="仿宋"/>
          <w:b/>
          <w:bCs w:val="0"/>
          <w:color w:val="auto"/>
          <w:sz w:val="32"/>
          <w:highlight w:val="none"/>
        </w:rPr>
      </w:pPr>
      <w:r>
        <w:rPr>
          <w:rFonts w:hint="eastAsia" w:ascii="仿宋" w:hAnsi="仿宋" w:eastAsia="仿宋" w:cs="仿宋"/>
          <w:b/>
          <w:bCs w:val="0"/>
          <w:color w:val="auto"/>
          <w:sz w:val="32"/>
          <w:highlight w:val="none"/>
        </w:rPr>
        <w:t>三、建设单位提供的有关资料</w:t>
      </w:r>
    </w:p>
    <w:p w14:paraId="5388CDF1">
      <w:pPr>
        <w:snapToGrid w:val="0"/>
        <w:spacing w:line="360" w:lineRule="auto"/>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lang w:val="en-US" w:eastAsia="zh-CN"/>
        </w:rPr>
        <w:t>初步设计文件。</w:t>
      </w:r>
    </w:p>
    <w:p w14:paraId="25065D39">
      <w:pPr>
        <w:snapToGrid w:val="0"/>
        <w:spacing w:line="360" w:lineRule="auto"/>
        <w:rPr>
          <w:color w:val="auto"/>
          <w:highlight w:val="none"/>
        </w:rPr>
      </w:pPr>
    </w:p>
    <w:p w14:paraId="1EABC326">
      <w:pPr>
        <w:rPr>
          <w:color w:val="auto"/>
          <w:highlight w:val="none"/>
        </w:rPr>
      </w:pPr>
    </w:p>
    <w:p w14:paraId="6CB39915">
      <w:pPr>
        <w:tabs>
          <w:tab w:val="left" w:pos="764"/>
        </w:tabs>
        <w:rPr>
          <w:rFonts w:hint="eastAsia" w:ascii="FangSong_GB2312" w:hAnsi="FangSong_GB2312" w:eastAsia="FangSong_GB2312" w:cs="FangSong_GB2312"/>
          <w:color w:val="auto"/>
          <w:sz w:val="28"/>
          <w:szCs w:val="28"/>
          <w:highlight w:val="none"/>
          <w:lang w:eastAsia="zh-CN"/>
        </w:rPr>
        <w:sectPr>
          <w:pgSz w:w="11906" w:h="16838"/>
          <w:pgMar w:top="1440" w:right="1800" w:bottom="1440" w:left="1800" w:header="851" w:footer="992" w:gutter="0"/>
          <w:cols w:space="720" w:num="1"/>
          <w:docGrid w:type="lines" w:linePitch="312" w:charSpace="0"/>
        </w:sectPr>
      </w:pPr>
    </w:p>
    <w:p w14:paraId="0137D6DF">
      <w:pPr>
        <w:pStyle w:val="2"/>
        <w:numPr>
          <w:ilvl w:val="0"/>
          <w:numId w:val="3"/>
        </w:numPr>
        <w:ind w:left="0" w:firstLine="0"/>
        <w:rPr>
          <w:color w:val="auto"/>
          <w:highlight w:val="none"/>
        </w:rPr>
      </w:pPr>
      <w:r>
        <w:rPr>
          <w:rFonts w:hint="eastAsia"/>
          <w:color w:val="auto"/>
          <w:highlight w:val="none"/>
        </w:rPr>
        <w:t>设计范围、设计条件和设计内容</w:t>
      </w:r>
    </w:p>
    <w:p w14:paraId="3A54DF36">
      <w:pPr>
        <w:numPr>
          <w:ilvl w:val="0"/>
          <w:numId w:val="5"/>
        </w:numPr>
        <w:snapToGrid w:val="0"/>
        <w:spacing w:line="360" w:lineRule="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设计范围</w:t>
      </w:r>
    </w:p>
    <w:p w14:paraId="6F64A9D2">
      <w:pPr>
        <w:bidi w:val="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rPr>
        <w:t>本项目设计内容包含</w:t>
      </w:r>
      <w:r>
        <w:rPr>
          <w:rFonts w:hint="eastAsia" w:ascii="FangSong_GB2312" w:hAnsi="FangSong_GB2312" w:eastAsia="FangSong_GB2312" w:cs="FangSong_GB2312"/>
          <w:color w:val="auto"/>
          <w:sz w:val="28"/>
          <w:szCs w:val="28"/>
          <w:highlight w:val="none"/>
          <w:lang w:val="en-US" w:eastAsia="zh-CN"/>
        </w:rPr>
        <w:t>在租赁建筑内首层、三层以及四层进行装修改造，建设成核心实验区以及公共配套服务区，并配置实验室专项工程。</w:t>
      </w:r>
    </w:p>
    <w:p w14:paraId="50356B79">
      <w:pPr>
        <w:snapToGrid w:val="0"/>
        <w:spacing w:line="360" w:lineRule="auto"/>
        <w:ind w:firstLine="560" w:firstLineChars="200"/>
        <w:rPr>
          <w:rFonts w:ascii="FangSong_GB2312" w:hAnsi="FangSong_GB2312" w:eastAsia="FangSong_GB2312" w:cs="FangSong_GB2312"/>
          <w:color w:val="auto"/>
          <w:sz w:val="28"/>
          <w:szCs w:val="28"/>
          <w:highlight w:val="none"/>
        </w:rPr>
      </w:pPr>
    </w:p>
    <w:p w14:paraId="4CB04E11">
      <w:pPr>
        <w:numPr>
          <w:ilvl w:val="0"/>
          <w:numId w:val="5"/>
        </w:numPr>
        <w:tabs>
          <w:tab w:val="left" w:pos="764"/>
        </w:tabs>
        <w:snapToGrid w:val="0"/>
        <w:spacing w:line="360" w:lineRule="auto"/>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设计条件</w:t>
      </w:r>
    </w:p>
    <w:p w14:paraId="0DA91F7C">
      <w:pPr>
        <w:shd w:val="clear" w:color="auto" w:fill="auto"/>
        <w:ind w:firstLine="560"/>
        <w:jc w:val="both"/>
        <w:rPr>
          <w:rFonts w:hint="eastAsia" w:eastAsia="宋体"/>
          <w:color w:val="auto"/>
          <w:highlight w:val="none"/>
          <w:lang w:val="en-US" w:eastAsia="zh-CN"/>
        </w:rPr>
      </w:pPr>
      <w:r>
        <w:rPr>
          <w:rFonts w:hint="eastAsia" w:ascii="FangSong_GB2312" w:hAnsi="FangSong_GB2312" w:eastAsia="FangSong_GB2312" w:cs="FangSong_GB2312"/>
          <w:bCs w:val="0"/>
          <w:color w:val="auto"/>
          <w:kern w:val="2"/>
          <w:sz w:val="28"/>
          <w:szCs w:val="28"/>
          <w:highlight w:val="none"/>
          <w:lang w:val="en-US" w:eastAsia="zh-CN" w:bidi="ar-SA"/>
        </w:rPr>
        <w:t>项目位于广州市黄埔</w:t>
      </w:r>
      <w:r>
        <w:rPr>
          <w:rFonts w:hint="eastAsia" w:ascii="FangSong_GB2312" w:hAnsi="FangSong_GB2312" w:eastAsia="FangSong_GB2312" w:cs="FangSong_GB2312"/>
          <w:bCs w:val="0"/>
          <w:strike w:val="0"/>
          <w:color w:val="auto"/>
          <w:kern w:val="2"/>
          <w:sz w:val="28"/>
          <w:szCs w:val="28"/>
          <w:highlight w:val="none"/>
          <w:u w:val="none"/>
          <w:lang w:val="en-US" w:eastAsia="zh-CN" w:bidi="ar-SA"/>
        </w:rPr>
        <w:t>区</w:t>
      </w:r>
      <w:r>
        <w:rPr>
          <w:rFonts w:hint="eastAsia" w:ascii="FangSong_GB2312" w:hAnsi="FangSong_GB2312" w:eastAsia="FangSong_GB2312" w:cs="FangSong_GB2312"/>
          <w:strike w:val="0"/>
          <w:color w:val="auto"/>
          <w:sz w:val="28"/>
          <w:szCs w:val="28"/>
          <w:highlight w:val="none"/>
          <w:u w:val="none"/>
          <w:lang w:val="en-US" w:eastAsia="zh-CN"/>
        </w:rPr>
        <w:t>广东粤港澳大湾区国家纳米科技创新研究院（广州市黄埔区纳科西一街1号5号楼首层、三层和四层）</w:t>
      </w:r>
    </w:p>
    <w:p w14:paraId="70BF2150"/>
    <w:p w14:paraId="1C430461"/>
    <w:p w14:paraId="62585F52">
      <w:pPr>
        <w:tabs>
          <w:tab w:val="left" w:pos="764"/>
        </w:tabs>
        <w:snapToGrid w:val="0"/>
        <w:spacing w:line="360" w:lineRule="auto"/>
        <w:ind w:firstLine="560"/>
        <w:jc w:val="left"/>
        <w:rPr>
          <w:rFonts w:hint="eastAsia" w:ascii="FangSong_GB2312" w:hAnsi="FangSong_GB2312" w:eastAsia="FangSong_GB2312" w:cs="FangSong_GB2312"/>
          <w:color w:val="auto"/>
          <w:sz w:val="24"/>
          <w:highlight w:val="none"/>
          <w:lang w:eastAsia="zh-CN"/>
        </w:rPr>
      </w:pPr>
    </w:p>
    <w:p w14:paraId="2BA18E62">
      <w:pPr>
        <w:numPr>
          <w:ilvl w:val="0"/>
          <w:numId w:val="5"/>
        </w:numPr>
        <w:tabs>
          <w:tab w:val="left" w:pos="764"/>
        </w:tabs>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建设规模</w:t>
      </w:r>
    </w:p>
    <w:p w14:paraId="5057D4B1">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eastAsia="zh-CN"/>
        </w:rPr>
        <w:t>项目</w:t>
      </w:r>
      <w:r>
        <w:rPr>
          <w:rFonts w:hint="eastAsia" w:ascii="FangSong_GB2312" w:hAnsi="FangSong_GB2312" w:eastAsia="FangSong_GB2312" w:cs="FangSong_GB2312"/>
          <w:color w:val="auto"/>
          <w:sz w:val="28"/>
          <w:szCs w:val="28"/>
          <w:highlight w:val="none"/>
          <w:lang w:val="en-US" w:eastAsia="zh-CN"/>
        </w:rPr>
        <w:t>改造总建筑面积9675.53平方米，其中：核心实验区建筑面积6821.71平方米，公共配套服务区建筑面积2853.82平方米。</w:t>
      </w:r>
    </w:p>
    <w:p w14:paraId="743055C2">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备注：各楼层电梯间、强电井等公共面积不在本次改造范围内。</w:t>
      </w:r>
    </w:p>
    <w:p w14:paraId="50F6D766">
      <w:pPr>
        <w:shd w:val="clear" w:color="auto" w:fill="auto"/>
        <w:bidi w:val="0"/>
        <w:ind w:firstLine="560"/>
        <w:jc w:val="both"/>
        <w:rPr>
          <w:rFonts w:hint="eastAsia" w:ascii="FangSong_GB2312" w:hAnsi="FangSong_GB2312" w:eastAsia="FangSong_GB2312" w:cs="FangSong_GB2312"/>
          <w:b w:val="0"/>
          <w:bCs w:val="0"/>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lang w:val="en-US" w:eastAsia="zh-CN"/>
        </w:rPr>
        <w:t>2.建设内容与功能布局</w:t>
      </w:r>
    </w:p>
    <w:p w14:paraId="55B1307F">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rPr>
        <w:t>首层</w:t>
      </w:r>
      <w:r>
        <w:rPr>
          <w:rFonts w:hint="eastAsia" w:ascii="FangSong_GB2312" w:hAnsi="FangSong_GB2312" w:eastAsia="FangSong_GB2312" w:cs="FangSong_GB2312"/>
          <w:color w:val="auto"/>
          <w:sz w:val="28"/>
          <w:szCs w:val="28"/>
          <w:highlight w:val="none"/>
        </w:rPr>
        <w:t>：核心测试与辅助保障层。</w:t>
      </w:r>
      <w:r>
        <w:rPr>
          <w:rFonts w:hint="eastAsia" w:ascii="FangSong_GB2312" w:hAnsi="FangSong_GB2312" w:eastAsia="FangSong_GB2312" w:cs="FangSong_GB2312"/>
          <w:color w:val="auto"/>
          <w:sz w:val="28"/>
          <w:szCs w:val="28"/>
          <w:highlight w:val="none"/>
          <w:lang w:val="en-US" w:eastAsia="zh-CN"/>
        </w:rPr>
        <w:t>改造面积3146.42平方米，其中实验区2880.97平方米，接待大厅及展厅265.45平方米。</w:t>
      </w:r>
    </w:p>
    <w:p w14:paraId="112E7B0B">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重点布局新能源装备与材料性能测试区（</w:t>
      </w:r>
      <w:r>
        <w:rPr>
          <w:rFonts w:hint="eastAsia" w:ascii="FangSong_GB2312" w:hAnsi="FangSong_GB2312" w:eastAsia="FangSong_GB2312" w:cs="FangSong_GB2312"/>
          <w:color w:val="auto"/>
          <w:sz w:val="28"/>
          <w:szCs w:val="28"/>
          <w:highlight w:val="none"/>
          <w:lang w:eastAsia="zh-CN"/>
        </w:rPr>
        <w:t>海上风电装备</w:t>
      </w:r>
      <w:r>
        <w:rPr>
          <w:rFonts w:hint="eastAsia" w:ascii="FangSong_GB2312" w:hAnsi="FangSong_GB2312" w:eastAsia="FangSong_GB2312" w:cs="FangSong_GB2312"/>
          <w:color w:val="auto"/>
          <w:sz w:val="28"/>
          <w:szCs w:val="28"/>
          <w:highlight w:val="none"/>
          <w:lang w:val="en-US" w:eastAsia="zh-CN"/>
        </w:rPr>
        <w:t>开发、燃烧与污染物基础研究、</w:t>
      </w:r>
      <w:r>
        <w:rPr>
          <w:rFonts w:hint="eastAsia" w:ascii="FangSong_GB2312" w:hAnsi="FangSong_GB2312" w:eastAsia="FangSong_GB2312" w:cs="FangSong_GB2312"/>
          <w:color w:val="auto"/>
          <w:sz w:val="28"/>
          <w:szCs w:val="28"/>
          <w:highlight w:val="none"/>
        </w:rPr>
        <w:t>熔盐</w:t>
      </w:r>
      <w:r>
        <w:rPr>
          <w:rFonts w:hint="eastAsia" w:ascii="FangSong_GB2312" w:hAnsi="FangSong_GB2312" w:eastAsia="FangSong_GB2312" w:cs="FangSong_GB2312"/>
          <w:color w:val="auto"/>
          <w:sz w:val="28"/>
          <w:szCs w:val="28"/>
          <w:highlight w:val="none"/>
          <w:lang w:val="en-US" w:eastAsia="zh-CN"/>
        </w:rPr>
        <w:t>热储能、</w:t>
      </w:r>
      <w:r>
        <w:rPr>
          <w:rFonts w:hint="eastAsia" w:ascii="FangSong_GB2312" w:hAnsi="FangSong_GB2312" w:eastAsia="FangSong_GB2312" w:cs="FangSong_GB2312"/>
          <w:color w:val="auto"/>
          <w:sz w:val="28"/>
          <w:szCs w:val="28"/>
          <w:highlight w:val="none"/>
          <w:lang w:eastAsia="zh-CN"/>
        </w:rPr>
        <w:t>海底电缆疲劳和老化测试、</w:t>
      </w:r>
      <w:r>
        <w:rPr>
          <w:rFonts w:hint="eastAsia" w:ascii="FangSong_GB2312" w:hAnsi="FangSong_GB2312" w:eastAsia="FangSong_GB2312" w:cs="FangSong_GB2312"/>
          <w:color w:val="auto"/>
          <w:sz w:val="28"/>
          <w:szCs w:val="28"/>
          <w:highlight w:val="none"/>
        </w:rPr>
        <w:t>光伏</w:t>
      </w:r>
      <w:r>
        <w:rPr>
          <w:rFonts w:hint="eastAsia" w:ascii="FangSong_GB2312" w:hAnsi="FangSong_GB2312" w:eastAsia="FangSong_GB2312" w:cs="FangSong_GB2312"/>
          <w:color w:val="auto"/>
          <w:sz w:val="28"/>
          <w:szCs w:val="28"/>
          <w:highlight w:val="none"/>
          <w:lang w:val="en-US" w:eastAsia="zh-CN"/>
        </w:rPr>
        <w:t>组件性能测试、高分辨率扫描电镜（CCSEM）公共检测</w:t>
      </w:r>
      <w:r>
        <w:rPr>
          <w:rFonts w:hint="eastAsia" w:ascii="FangSong_GB2312" w:hAnsi="FangSong_GB2312" w:eastAsia="FangSong_GB2312" w:cs="FangSong_GB2312"/>
          <w:color w:val="auto"/>
          <w:sz w:val="28"/>
          <w:szCs w:val="28"/>
          <w:highlight w:val="none"/>
        </w:rPr>
        <w:t>）、公共分析测试平台（</w:t>
      </w:r>
      <w:r>
        <w:rPr>
          <w:rFonts w:hint="eastAsia" w:ascii="FangSong_GB2312" w:hAnsi="FangSong_GB2312" w:eastAsia="FangSong_GB2312" w:cs="FangSong_GB2312"/>
          <w:color w:val="auto"/>
          <w:sz w:val="28"/>
          <w:szCs w:val="28"/>
          <w:highlight w:val="none"/>
          <w:lang w:val="en-US" w:eastAsia="zh-CN"/>
        </w:rPr>
        <w:t>环境测试</w:t>
      </w:r>
      <w:r>
        <w:rPr>
          <w:rFonts w:hint="eastAsia" w:ascii="FangSong_GB2312" w:hAnsi="FangSong_GB2312" w:eastAsia="FangSong_GB2312" w:cs="FangSong_GB2312"/>
          <w:color w:val="auto"/>
          <w:sz w:val="28"/>
          <w:szCs w:val="28"/>
          <w:highlight w:val="none"/>
        </w:rPr>
        <w:t>、理化分析、样品制备）以及核心安全环保辅助设施（</w:t>
      </w:r>
      <w:r>
        <w:rPr>
          <w:rFonts w:hint="eastAsia" w:ascii="FangSong_GB2312" w:hAnsi="FangSong_GB2312" w:eastAsia="FangSong_GB2312" w:cs="FangSong_GB2312"/>
          <w:color w:val="auto"/>
          <w:sz w:val="28"/>
          <w:szCs w:val="28"/>
          <w:highlight w:val="none"/>
          <w:lang w:val="en-US" w:eastAsia="zh-CN"/>
        </w:rPr>
        <w:t>标气间、压缩气体间</w:t>
      </w:r>
      <w:r>
        <w:rPr>
          <w:rFonts w:hint="eastAsia" w:ascii="FangSong_GB2312" w:hAnsi="FangSong_GB2312" w:eastAsia="FangSong_GB2312" w:cs="FangSong_GB2312"/>
          <w:color w:val="auto"/>
          <w:sz w:val="28"/>
          <w:szCs w:val="28"/>
          <w:highlight w:val="none"/>
        </w:rPr>
        <w:t>、废水处理间、废弃物暂存、洗消间等）。</w:t>
      </w:r>
    </w:p>
    <w:p w14:paraId="5AFBD4C4">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rPr>
        <w:t>三层</w:t>
      </w:r>
      <w:r>
        <w:rPr>
          <w:rFonts w:hint="eastAsia" w:ascii="FangSong_GB2312" w:hAnsi="FangSong_GB2312" w:eastAsia="FangSong_GB2312" w:cs="FangSong_GB2312"/>
          <w:color w:val="auto"/>
          <w:sz w:val="28"/>
          <w:szCs w:val="28"/>
          <w:highlight w:val="none"/>
        </w:rPr>
        <w:t>：低碳能源核心技术研发层。</w:t>
      </w:r>
      <w:r>
        <w:rPr>
          <w:rFonts w:hint="eastAsia" w:ascii="FangSong_GB2312" w:hAnsi="FangSong_GB2312" w:eastAsia="FangSong_GB2312" w:cs="FangSong_GB2312"/>
          <w:color w:val="auto"/>
          <w:sz w:val="28"/>
          <w:szCs w:val="28"/>
          <w:highlight w:val="none"/>
          <w:lang w:val="en-US" w:eastAsia="zh-CN"/>
        </w:rPr>
        <w:t>改造面积3245.24平方米。</w:t>
      </w:r>
    </w:p>
    <w:p w14:paraId="46056031">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集中布局六大核心工程实验室，聚焦储能、氢能、燃料电池、绿色燃料合成（生物质气化与CO₂加氢）、微藻固碳、矿化固碳及碳捕集等战略研究方向，是</w:t>
      </w:r>
      <w:r>
        <w:rPr>
          <w:rFonts w:hint="eastAsia" w:ascii="FangSong_GB2312" w:hAnsi="FangSong_GB2312" w:eastAsia="FangSong_GB2312" w:cs="FangSong_GB2312"/>
          <w:color w:val="auto"/>
          <w:sz w:val="28"/>
          <w:szCs w:val="28"/>
          <w:highlight w:val="none"/>
          <w:lang w:eastAsia="zh-CN"/>
        </w:rPr>
        <w:t>项目</w:t>
      </w:r>
      <w:r>
        <w:rPr>
          <w:rFonts w:hint="eastAsia" w:ascii="FangSong_GB2312" w:hAnsi="FangSong_GB2312" w:eastAsia="FangSong_GB2312" w:cs="FangSong_GB2312"/>
          <w:color w:val="auto"/>
          <w:sz w:val="28"/>
          <w:szCs w:val="28"/>
          <w:highlight w:val="none"/>
        </w:rPr>
        <w:t>科研功能的核心承载区。</w:t>
      </w:r>
    </w:p>
    <w:p w14:paraId="527DF469">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rPr>
        <w:t>四层</w:t>
      </w:r>
      <w:r>
        <w:rPr>
          <w:rFonts w:hint="eastAsia" w:ascii="FangSong_GB2312" w:hAnsi="FangSong_GB2312" w:eastAsia="FangSong_GB2312" w:cs="FangSong_GB2312"/>
          <w:color w:val="auto"/>
          <w:sz w:val="28"/>
          <w:szCs w:val="28"/>
          <w:highlight w:val="none"/>
        </w:rPr>
        <w:t>：科研管理与综合服务层。</w:t>
      </w:r>
      <w:r>
        <w:rPr>
          <w:rFonts w:hint="eastAsia" w:ascii="FangSong_GB2312" w:hAnsi="FangSong_GB2312" w:eastAsia="FangSong_GB2312" w:cs="FangSong_GB2312"/>
          <w:color w:val="auto"/>
          <w:sz w:val="28"/>
          <w:szCs w:val="28"/>
          <w:highlight w:val="none"/>
          <w:lang w:val="en-US" w:eastAsia="zh-CN"/>
        </w:rPr>
        <w:t>改造面积3283.87平方米，其中实验区695.50平方米，研发车间2588.37平方米。</w:t>
      </w:r>
    </w:p>
    <w:p w14:paraId="6242B8CC">
      <w:pPr>
        <w:widowControl/>
        <w:shd w:val="clear" w:color="auto" w:fill="auto"/>
        <w:ind w:firstLine="560" w:firstLineChars="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lang w:val="en-US" w:eastAsia="zh-CN"/>
        </w:rPr>
        <w:t>设置通用设备实验室、原位电子顺磁共振（EPR）公共检测实验室、微纳电化学实验室、煤的物理与化学特性分析实验室、大屏展示区域等以及研发车间。研发车间内</w:t>
      </w:r>
      <w:r>
        <w:rPr>
          <w:rFonts w:hint="eastAsia" w:ascii="FangSong_GB2312" w:hAnsi="FangSong_GB2312" w:eastAsia="FangSong_GB2312" w:cs="FangSong_GB2312"/>
          <w:color w:val="auto"/>
          <w:sz w:val="28"/>
          <w:szCs w:val="28"/>
          <w:highlight w:val="none"/>
        </w:rPr>
        <w:t>按研究方向设置</w:t>
      </w:r>
      <w:r>
        <w:rPr>
          <w:rFonts w:hint="eastAsia" w:ascii="FangSong_GB2312" w:hAnsi="FangSong_GB2312" w:eastAsia="FangSong_GB2312" w:cs="FangSong_GB2312"/>
          <w:color w:val="auto"/>
          <w:sz w:val="28"/>
          <w:szCs w:val="28"/>
          <w:highlight w:val="none"/>
          <w:lang w:val="en-US" w:eastAsia="zh-CN"/>
        </w:rPr>
        <w:t>专家指导、协作交流、项目管理、数据归集、成果验收等多个协作空间</w:t>
      </w:r>
      <w:r>
        <w:rPr>
          <w:rFonts w:hint="eastAsia" w:ascii="FangSong_GB2312" w:hAnsi="FangSong_GB2312" w:eastAsia="FangSong_GB2312" w:cs="FangSong_GB2312"/>
          <w:color w:val="auto"/>
          <w:sz w:val="28"/>
          <w:szCs w:val="28"/>
          <w:highlight w:val="none"/>
          <w:lang w:eastAsia="zh-CN"/>
        </w:rPr>
        <w:t>；</w:t>
      </w:r>
      <w:r>
        <w:rPr>
          <w:rFonts w:hint="eastAsia" w:ascii="FangSong_GB2312" w:hAnsi="FangSong_GB2312" w:eastAsia="FangSong_GB2312" w:cs="FangSong_GB2312"/>
          <w:color w:val="auto"/>
          <w:sz w:val="28"/>
          <w:szCs w:val="28"/>
          <w:highlight w:val="none"/>
        </w:rPr>
        <w:t>另设有预留实验室，为未来研究方向拓展提供灵活空间。</w:t>
      </w:r>
    </w:p>
    <w:p w14:paraId="625D62B6">
      <w:pPr>
        <w:widowControl/>
        <w:shd w:val="clear" w:color="auto" w:fill="auto"/>
        <w:ind w:firstLine="560" w:firstLineChars="0"/>
        <w:jc w:val="both"/>
        <w:rPr>
          <w:rFonts w:hint="eastAsia" w:ascii="FangSong_GB2312" w:hAnsi="FangSong_GB2312" w:eastAsia="FangSong_GB2312" w:cs="FangSong_GB2312"/>
          <w:color w:val="auto"/>
          <w:kern w:val="0"/>
          <w:sz w:val="28"/>
          <w:szCs w:val="28"/>
          <w:highlight w:val="none"/>
          <w:lang w:bidi="ar"/>
        </w:rPr>
      </w:pPr>
    </w:p>
    <w:p w14:paraId="3A54B5F1">
      <w:pPr>
        <w:numPr>
          <w:ilvl w:val="0"/>
          <w:numId w:val="5"/>
        </w:numPr>
        <w:tabs>
          <w:tab w:val="left" w:pos="764"/>
        </w:tabs>
        <w:rPr>
          <w:rFonts w:ascii="仿宋" w:hAnsi="仿宋" w:eastAsia="仿宋" w:cs="仿宋"/>
          <w:b/>
          <w:bCs/>
          <w:color w:val="auto"/>
          <w:sz w:val="32"/>
          <w:szCs w:val="32"/>
          <w:highlight w:val="none"/>
        </w:rPr>
      </w:pPr>
      <w:r>
        <w:rPr>
          <w:rFonts w:hint="eastAsia" w:ascii="仿宋" w:hAnsi="仿宋" w:eastAsia="仿宋" w:cs="仿宋"/>
          <w:b/>
          <w:bCs/>
          <w:color w:val="auto"/>
          <w:sz w:val="32"/>
          <w:szCs w:val="32"/>
          <w:highlight w:val="none"/>
        </w:rPr>
        <w:t>设计原则和要求</w:t>
      </w:r>
    </w:p>
    <w:p w14:paraId="631D88E1">
      <w:pPr>
        <w:shd w:val="clear" w:color="auto" w:fill="auto"/>
        <w:snapToGrid/>
        <w:spacing w:line="240" w:lineRule="auto"/>
        <w:ind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4.1设计原则：</w:t>
      </w:r>
    </w:p>
    <w:p w14:paraId="5183784C">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为确保“煤燃烧与低碳利用全国重点实验室广东分室”建成一个技术先进、安全可靠、运行高效、面向未来的现代化科研平台，</w:t>
      </w:r>
      <w:r>
        <w:rPr>
          <w:rFonts w:hint="eastAsia" w:ascii="FangSong_GB2312" w:hAnsi="FangSong_GB2312" w:eastAsia="FangSong_GB2312" w:cs="FangSong_GB2312"/>
          <w:color w:val="auto"/>
          <w:sz w:val="28"/>
          <w:szCs w:val="28"/>
          <w:highlight w:val="none"/>
          <w:lang w:eastAsia="zh-CN"/>
        </w:rPr>
        <w:t>项目</w:t>
      </w:r>
      <w:r>
        <w:rPr>
          <w:rFonts w:hint="eastAsia" w:ascii="FangSong_GB2312" w:hAnsi="FangSong_GB2312" w:eastAsia="FangSong_GB2312" w:cs="FangSong_GB2312"/>
          <w:color w:val="auto"/>
          <w:sz w:val="28"/>
          <w:szCs w:val="28"/>
          <w:highlight w:val="none"/>
        </w:rPr>
        <w:t>的工程方案设计将严格遵循以下核心原则：</w:t>
      </w:r>
    </w:p>
    <w:p w14:paraId="4A3DAC6B">
      <w:pPr>
        <w:shd w:val="clear" w:color="auto" w:fill="auto"/>
        <w:bidi w:val="0"/>
        <w:ind w:firstLine="560"/>
        <w:jc w:val="both"/>
        <w:rPr>
          <w:rFonts w:hint="eastAsia" w:ascii="FangSong_GB2312" w:hAnsi="FangSong_GB2312" w:eastAsia="FangSong_GB2312" w:cs="FangSong_GB2312"/>
          <w:b w:val="0"/>
          <w:bCs w:val="0"/>
          <w:color w:val="auto"/>
          <w:sz w:val="28"/>
          <w:szCs w:val="28"/>
          <w:highlight w:val="none"/>
        </w:rPr>
      </w:pPr>
      <w:r>
        <w:rPr>
          <w:rFonts w:hint="eastAsia" w:ascii="FangSong_GB2312" w:hAnsi="FangSong_GB2312" w:eastAsia="FangSong_GB2312" w:cs="FangSong_GB2312"/>
          <w:b w:val="0"/>
          <w:bCs w:val="0"/>
          <w:color w:val="auto"/>
          <w:sz w:val="28"/>
          <w:szCs w:val="28"/>
          <w:highlight w:val="none"/>
          <w:lang w:val="en-US" w:eastAsia="zh-CN"/>
        </w:rPr>
        <w:t>1.</w:t>
      </w:r>
      <w:r>
        <w:rPr>
          <w:rFonts w:hint="eastAsia" w:ascii="FangSong_GB2312" w:hAnsi="FangSong_GB2312" w:eastAsia="FangSong_GB2312" w:cs="FangSong_GB2312"/>
          <w:b w:val="0"/>
          <w:bCs w:val="0"/>
          <w:color w:val="auto"/>
          <w:sz w:val="28"/>
          <w:szCs w:val="28"/>
          <w:highlight w:val="none"/>
        </w:rPr>
        <w:t>安全优先，本质安全原则</w:t>
      </w:r>
    </w:p>
    <w:p w14:paraId="14F2AAC0">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安全是实验室设计的首要前提。所有设计均须以保障人员、设备、环境和数据安全为核心，贯彻“本质安全”理念。</w:t>
      </w:r>
    </w:p>
    <w:p w14:paraId="7BF1084F">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合规性设计：严格遵循国家及地方在建筑、消防、环保、职业健康、危险化学品、压力容器、辐射安全等领域的全部强制性规范与标准。</w:t>
      </w:r>
    </w:p>
    <w:p w14:paraId="3A1D39E8">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主动防御设计：通过合理的功能分区（洁污分离、人物分流）、物理隔离（</w:t>
      </w:r>
      <w:r>
        <w:rPr>
          <w:rFonts w:hint="eastAsia" w:ascii="FangSong_GB2312" w:hAnsi="FangSong_GB2312" w:eastAsia="FangSong_GB2312" w:cs="FangSong_GB2312"/>
          <w:color w:val="auto"/>
          <w:sz w:val="28"/>
          <w:szCs w:val="28"/>
          <w:highlight w:val="none"/>
          <w:lang w:val="en-US" w:eastAsia="zh-CN"/>
        </w:rPr>
        <w:t>隔</w:t>
      </w:r>
      <w:r>
        <w:rPr>
          <w:rFonts w:hint="eastAsia" w:ascii="FangSong_GB2312" w:hAnsi="FangSong_GB2312" w:eastAsia="FangSong_GB2312" w:cs="FangSong_GB2312"/>
          <w:color w:val="auto"/>
          <w:sz w:val="28"/>
          <w:szCs w:val="28"/>
          <w:highlight w:val="none"/>
        </w:rPr>
        <w:t>墙、防火分区）、工程控制（全面通风与局部强排）及智能化监控预警系统，从源头消除或控制风险。</w:t>
      </w:r>
    </w:p>
    <w:p w14:paraId="12DD863B">
      <w:pPr>
        <w:shd w:val="clear" w:color="auto" w:fill="auto"/>
        <w:bidi w:val="0"/>
        <w:ind w:firstLine="560"/>
        <w:jc w:val="both"/>
        <w:rPr>
          <w:rFonts w:hint="eastAsia" w:ascii="FangSong_GB2312" w:hAnsi="FangSong_GB2312" w:eastAsia="FangSong_GB2312" w:cs="FangSong_GB2312"/>
          <w:b w:val="0"/>
          <w:bCs w:val="0"/>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lang w:val="en-US" w:eastAsia="zh-CN"/>
        </w:rPr>
        <w:t>2.需求引领，功能适配原则</w:t>
      </w:r>
    </w:p>
    <w:p w14:paraId="62436D45">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设计必须完全服从并服务于科研活动的核心需求。</w:t>
      </w:r>
    </w:p>
    <w:p w14:paraId="5E521749">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主导布局：以实验科研任务流线为核心，科学规划实验室的平面布局、空间高度和楼层关系，确保各功能区衔接流畅，提高科研工作效率。</w:t>
      </w:r>
    </w:p>
    <w:p w14:paraId="20496BE0">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前瞻性预留：为未来可能部署的大型仪器、中试装置或新兴研究方向，在空间荷载、基础设施（水、电、气、通风）容量和接口方面预留充足的扩展余量。</w:t>
      </w:r>
    </w:p>
    <w:p w14:paraId="76704588">
      <w:pPr>
        <w:shd w:val="clear" w:color="auto" w:fill="auto"/>
        <w:bidi w:val="0"/>
        <w:ind w:firstLine="560"/>
        <w:jc w:val="both"/>
        <w:rPr>
          <w:rFonts w:hint="eastAsia" w:ascii="FangSong_GB2312" w:hAnsi="FangSong_GB2312" w:eastAsia="FangSong_GB2312" w:cs="FangSong_GB2312"/>
          <w:b w:val="0"/>
          <w:bCs w:val="0"/>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lang w:val="en-US" w:eastAsia="zh-CN"/>
        </w:rPr>
        <w:t>3.绿色低碳，智慧高效原则</w:t>
      </w:r>
    </w:p>
    <w:p w14:paraId="605338FD">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将可持续发展与智能化融入建筑</w:t>
      </w:r>
      <w:r>
        <w:rPr>
          <w:rFonts w:hint="eastAsia" w:ascii="FangSong_GB2312" w:hAnsi="FangSong_GB2312" w:eastAsia="FangSong_GB2312" w:cs="FangSong_GB2312"/>
          <w:color w:val="auto"/>
          <w:sz w:val="28"/>
          <w:szCs w:val="28"/>
          <w:highlight w:val="none"/>
          <w:lang w:val="en-US" w:eastAsia="zh-CN"/>
        </w:rPr>
        <w:t>内，</w:t>
      </w:r>
      <w:r>
        <w:rPr>
          <w:rFonts w:hint="eastAsia" w:ascii="FangSong_GB2312" w:hAnsi="FangSong_GB2312" w:eastAsia="FangSong_GB2312" w:cs="FangSong_GB2312"/>
          <w:color w:val="auto"/>
          <w:sz w:val="28"/>
          <w:szCs w:val="28"/>
          <w:highlight w:val="none"/>
        </w:rPr>
        <w:t>贯彻绿色</w:t>
      </w:r>
      <w:r>
        <w:rPr>
          <w:rFonts w:hint="eastAsia" w:ascii="FangSong_GB2312" w:hAnsi="FangSong_GB2312" w:eastAsia="FangSong_GB2312" w:cs="FangSong_GB2312"/>
          <w:color w:val="auto"/>
          <w:sz w:val="28"/>
          <w:szCs w:val="28"/>
          <w:highlight w:val="none"/>
          <w:lang w:val="en-US" w:eastAsia="zh-CN"/>
        </w:rPr>
        <w:t>低碳理念</w:t>
      </w:r>
      <w:r>
        <w:rPr>
          <w:rFonts w:hint="eastAsia" w:ascii="FangSong_GB2312" w:hAnsi="FangSong_GB2312" w:eastAsia="FangSong_GB2312" w:cs="FangSong_GB2312"/>
          <w:color w:val="auto"/>
          <w:sz w:val="28"/>
          <w:szCs w:val="28"/>
          <w:highlight w:val="none"/>
        </w:rPr>
        <w:t>，采用高性能围护结构、高能效设备</w:t>
      </w:r>
      <w:r>
        <w:rPr>
          <w:rFonts w:hint="eastAsia" w:ascii="FangSong_GB2312" w:hAnsi="FangSong_GB2312" w:eastAsia="FangSong_GB2312" w:cs="FangSong_GB2312"/>
          <w:color w:val="auto"/>
          <w:sz w:val="28"/>
          <w:szCs w:val="28"/>
          <w:highlight w:val="none"/>
          <w:lang w:eastAsia="zh-CN"/>
        </w:rPr>
        <w:t>，</w:t>
      </w:r>
      <w:r>
        <w:rPr>
          <w:rFonts w:hint="eastAsia" w:ascii="FangSong_GB2312" w:hAnsi="FangSong_GB2312" w:eastAsia="FangSong_GB2312" w:cs="FangSong_GB2312"/>
          <w:color w:val="auto"/>
          <w:sz w:val="28"/>
          <w:szCs w:val="28"/>
          <w:highlight w:val="none"/>
        </w:rPr>
        <w:t>显著降低建筑运行能耗与碳排放。构建统一的智慧实验室管理平台，集成安全监控、能源管理、实验室信息管理，实现环境精准控制、安全主动预警、能源智慧调度和科研数据全流程管理，提升整体运行与管理效率。</w:t>
      </w:r>
    </w:p>
    <w:p w14:paraId="7B346C88">
      <w:pPr>
        <w:shd w:val="clear" w:color="auto" w:fill="auto"/>
        <w:bidi w:val="0"/>
        <w:ind w:firstLine="560"/>
        <w:jc w:val="both"/>
        <w:rPr>
          <w:rFonts w:hint="eastAsia" w:ascii="FangSong_GB2312" w:hAnsi="FangSong_GB2312" w:eastAsia="FangSong_GB2312" w:cs="FangSong_GB2312"/>
          <w:b w:val="0"/>
          <w:bCs w:val="0"/>
          <w:color w:val="auto"/>
          <w:sz w:val="28"/>
          <w:szCs w:val="28"/>
          <w:highlight w:val="none"/>
        </w:rPr>
      </w:pPr>
      <w:r>
        <w:rPr>
          <w:rFonts w:hint="eastAsia" w:ascii="FangSong_GB2312" w:hAnsi="FangSong_GB2312" w:eastAsia="FangSong_GB2312" w:cs="FangSong_GB2312"/>
          <w:b w:val="0"/>
          <w:bCs w:val="0"/>
          <w:color w:val="auto"/>
          <w:sz w:val="28"/>
          <w:szCs w:val="28"/>
          <w:highlight w:val="none"/>
          <w:lang w:val="en-US" w:eastAsia="zh-CN"/>
        </w:rPr>
        <w:t>4.</w:t>
      </w:r>
      <w:r>
        <w:rPr>
          <w:rFonts w:hint="eastAsia" w:ascii="FangSong_GB2312" w:hAnsi="FangSong_GB2312" w:eastAsia="FangSong_GB2312" w:cs="FangSong_GB2312"/>
          <w:b w:val="0"/>
          <w:bCs w:val="0"/>
          <w:color w:val="auto"/>
          <w:sz w:val="28"/>
          <w:szCs w:val="28"/>
          <w:highlight w:val="none"/>
        </w:rPr>
        <w:t>开放共享，协同创新原则</w:t>
      </w:r>
    </w:p>
    <w:p w14:paraId="130AA339">
      <w:pPr>
        <w:shd w:val="clear" w:color="auto" w:fill="auto"/>
        <w:bidi w:val="0"/>
        <w:ind w:firstLine="560"/>
        <w:jc w:val="both"/>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rPr>
        <w:t>营造促进学科交叉与团队协作的物理环境和文化氛围。设计开放的共享实验区、协作空间</w:t>
      </w:r>
      <w:r>
        <w:rPr>
          <w:rFonts w:hint="eastAsia" w:ascii="FangSong_GB2312" w:hAnsi="FangSong_GB2312" w:eastAsia="FangSong_GB2312" w:cs="FangSong_GB2312"/>
          <w:color w:val="auto"/>
          <w:sz w:val="28"/>
          <w:szCs w:val="28"/>
          <w:highlight w:val="none"/>
          <w:lang w:eastAsia="zh-CN"/>
        </w:rPr>
        <w:t>。</w:t>
      </w:r>
    </w:p>
    <w:p w14:paraId="7FEDF507">
      <w:pPr>
        <w:shd w:val="clear" w:color="auto" w:fill="auto"/>
        <w:bidi w:val="0"/>
        <w:ind w:firstLine="560"/>
        <w:jc w:val="both"/>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rPr>
        <w:t>平台公共属性：大型仪器平台、分析测试中心等公共支撑平台应集中设置、统一管理，设计便捷的预约和使用流线，最大化提高设备利用率和共享水平</w:t>
      </w:r>
      <w:r>
        <w:rPr>
          <w:rFonts w:hint="eastAsia" w:ascii="FangSong_GB2312" w:hAnsi="FangSong_GB2312" w:eastAsia="FangSong_GB2312" w:cs="FangSong_GB2312"/>
          <w:color w:val="auto"/>
          <w:sz w:val="28"/>
          <w:szCs w:val="28"/>
          <w:highlight w:val="none"/>
          <w:lang w:eastAsia="zh-CN"/>
        </w:rPr>
        <w:t>。</w:t>
      </w:r>
    </w:p>
    <w:p w14:paraId="2F36BF76">
      <w:pPr>
        <w:shd w:val="clear" w:color="auto" w:fill="auto"/>
        <w:bidi w:val="0"/>
        <w:ind w:firstLine="560"/>
        <w:jc w:val="both"/>
        <w:rPr>
          <w:rFonts w:hint="eastAsia" w:ascii="FangSong_GB2312" w:hAnsi="FangSong_GB2312" w:eastAsia="FangSong_GB2312" w:cs="FangSong_GB2312"/>
          <w:b w:val="0"/>
          <w:bCs w:val="0"/>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lang w:val="en-US" w:eastAsia="zh-CN"/>
        </w:rPr>
        <w:t>5.经济合理，全周期最优原则</w:t>
      </w:r>
    </w:p>
    <w:p w14:paraId="2D1B12F5">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在满足功能与安全的前提下，追求项目全生命周期综合成本最优。优先选用技术成熟、可靠性高、维护便捷的系统和设备，避免单纯追求低价或盲目超前。在关键材料和设备选型上，优先考虑标准化产品和本地化服务支持能力，以降低建设成本、缩短采购周期并保障后期运维响应速度。</w:t>
      </w:r>
    </w:p>
    <w:p w14:paraId="4CC74D6F">
      <w:pPr>
        <w:tabs>
          <w:tab w:val="left" w:pos="764"/>
        </w:tabs>
        <w:snapToGrid w:val="0"/>
        <w:spacing w:line="360" w:lineRule="auto"/>
        <w:rPr>
          <w:rFonts w:ascii="FangSong_GB2312" w:hAnsi="FangSong_GB2312" w:eastAsia="FangSong_GB2312" w:cs="FangSong_GB2312"/>
          <w:color w:val="auto"/>
          <w:sz w:val="28"/>
          <w:szCs w:val="28"/>
          <w:highlight w:val="none"/>
        </w:rPr>
      </w:pPr>
    </w:p>
    <w:p w14:paraId="28D8E944">
      <w:pPr>
        <w:numPr>
          <w:ilvl w:val="-1"/>
          <w:numId w:val="0"/>
        </w:numPr>
        <w:shd w:val="clear" w:color="auto" w:fill="auto"/>
        <w:snapToGrid/>
        <w:spacing w:line="240" w:lineRule="auto"/>
        <w:ind w:firstLine="0"/>
        <w:rPr>
          <w:rFonts w:hint="eastAsia" w:ascii="FangSong_GB2312" w:hAnsi="FangSong_GB2312" w:eastAsia="FangSong_GB2312" w:cs="FangSong_GB2312"/>
          <w:b/>
          <w:bCs/>
          <w:color w:val="auto"/>
          <w:sz w:val="32"/>
          <w:szCs w:val="32"/>
          <w:highlight w:val="none"/>
        </w:rPr>
      </w:pPr>
      <w:r>
        <w:rPr>
          <w:rFonts w:hint="eastAsia" w:ascii="FangSong_GB2312" w:hAnsi="FangSong_GB2312" w:eastAsia="FangSong_GB2312" w:cs="FangSong_GB2312"/>
          <w:b/>
          <w:bCs/>
          <w:color w:val="auto"/>
          <w:sz w:val="32"/>
          <w:szCs w:val="32"/>
          <w:highlight w:val="none"/>
          <w:lang w:val="en-US" w:eastAsia="zh-CN"/>
        </w:rPr>
        <w:t>五、</w:t>
      </w:r>
      <w:r>
        <w:rPr>
          <w:rFonts w:hint="eastAsia" w:ascii="FangSong_GB2312" w:hAnsi="FangSong_GB2312" w:eastAsia="FangSong_GB2312" w:cs="FangSong_GB2312"/>
          <w:b/>
          <w:bCs/>
          <w:color w:val="auto"/>
          <w:sz w:val="32"/>
          <w:szCs w:val="32"/>
          <w:highlight w:val="none"/>
        </w:rPr>
        <w:t>设计内容</w:t>
      </w:r>
    </w:p>
    <w:p w14:paraId="20F41506">
      <w:pPr>
        <w:bidi w:val="0"/>
        <w:snapToGrid w:val="0"/>
        <w:spacing w:line="360" w:lineRule="auto"/>
        <w:ind w:firstLine="562" w:firstLineChars="200"/>
        <w:jc w:val="left"/>
        <w:rPr>
          <w:rFonts w:hint="eastAsia" w:ascii="FangSong_GB2312" w:hAnsi="FangSong_GB2312" w:eastAsia="FangSong_GB2312" w:cs="FangSong_GB2312"/>
          <w:b/>
          <w:color w:val="auto"/>
          <w:sz w:val="28"/>
          <w:szCs w:val="28"/>
          <w:highlight w:val="none"/>
          <w:lang w:val="en-US" w:eastAsia="zh-CN"/>
        </w:rPr>
      </w:pPr>
      <w:r>
        <w:rPr>
          <w:rFonts w:hint="eastAsia" w:ascii="FangSong_GB2312" w:hAnsi="FangSong_GB2312" w:eastAsia="FangSong_GB2312" w:cs="FangSong_GB2312"/>
          <w:b/>
          <w:color w:val="auto"/>
          <w:sz w:val="28"/>
          <w:szCs w:val="28"/>
          <w:highlight w:val="none"/>
          <w:lang w:val="en-US" w:eastAsia="zh-CN"/>
        </w:rPr>
        <w:t>1、总体布局</w:t>
      </w:r>
    </w:p>
    <w:p w14:paraId="28172AC1">
      <w:pPr>
        <w:shd w:val="clear" w:color="auto" w:fill="auto"/>
        <w:bidi w:val="0"/>
        <w:ind w:firstLine="560"/>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lang w:eastAsia="zh-CN"/>
        </w:rPr>
        <w:t>项目</w:t>
      </w:r>
      <w:r>
        <w:rPr>
          <w:rFonts w:hint="eastAsia" w:ascii="FangSong_GB2312" w:hAnsi="FangSong_GB2312" w:eastAsia="FangSong_GB2312" w:cs="FangSong_GB2312"/>
          <w:color w:val="auto"/>
          <w:sz w:val="28"/>
          <w:szCs w:val="28"/>
          <w:highlight w:val="none"/>
        </w:rPr>
        <w:t>平面布局统筹实验室功能、流程、管理、卫生等方面要求，做到功能分区合理，流线清楚，布局紧凑，管理方便，相应实验室具备应有的安静环境，室内公共走道具备良好疏散条件。</w:t>
      </w:r>
    </w:p>
    <w:p w14:paraId="1D66B8E4">
      <w:pPr>
        <w:shd w:val="clear" w:color="auto" w:fill="auto"/>
        <w:bidi w:val="0"/>
        <w:ind w:firstLine="560"/>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建筑现状：项目现为丙类多层厂房建筑，耐火等级二级，2023年竣工，建筑高度23.5m，其中，首层高度6m，荷载1T；二层高度5.5m，荷载1T；三层高度6.5m，荷载1.5T；四层高度5.5m，荷载1T。根据业主提供的设备清单、使用要求，各层荷载要求均不超过原有建筑荷载要求，而三层地面补板荷载应该满足1.5T/m³，四层地面补板应该满足0.5T/m³（卫生间区域0.25T/m³）；以上则可满足改造后实验室的使用需求。</w:t>
      </w:r>
    </w:p>
    <w:p w14:paraId="2C16F6F9">
      <w:pPr>
        <w:shd w:val="clear" w:color="auto" w:fill="auto"/>
        <w:bidi w:val="0"/>
        <w:ind w:firstLine="560"/>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本次改造不改变原设计的防火分区以及疏散出口位置，但室内装修对原建筑内的消防设施或器材及其标识、疏散指示标志、疏散横通道，防烟分区及其分隔有所影响，相关消防内容需要按现有规范重新设计。</w:t>
      </w:r>
    </w:p>
    <w:p w14:paraId="45973411">
      <w:pPr>
        <w:shd w:val="clear" w:color="auto" w:fill="auto"/>
        <w:bidi w:val="0"/>
        <w:ind w:firstLine="560"/>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主要建设内容：项目拟在租赁建筑内首层、三层以及四层进行装修改造，建设成核心实验研发区以及公共配套服务区，并配置实验室专用工程。本次改造不改变原设计的防火分区以及疏散出口位置，但室内装修对原建筑内的消防设施或器材及其标识、疏散指示标志、疏散横通道，防烟分区及其分隔有所影响，相关消防内容需要按现有规范重新设计。</w:t>
      </w:r>
    </w:p>
    <w:p w14:paraId="14514AC5">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建设规模：改造总建筑面积9675.53平方米，其中：核心实验区建筑面积约6821.71平方米，公共配套服务区建筑面积约2853.82平方米。（备注：各楼层电梯间、强电井等公共面积不在本次改造范围内。）</w:t>
      </w:r>
    </w:p>
    <w:p w14:paraId="2B794507">
      <w:pPr>
        <w:shd w:val="clear" w:color="auto" w:fill="auto"/>
        <w:bidi w:val="0"/>
        <w:ind w:firstLine="560"/>
        <w:jc w:val="both"/>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项目定位为实验室与研发车间为一体的，重点围绕海上风电装备开发、装备关键部件可靠性研究及钙钛矿光伏组件寿命研究等方向，依托先进仪器设备与系统化研发能力；以及为千瓦级SOFC技术的开发、优化与验证提供一站式解决方案，旨在突破高性能、长寿命SOFC在电极/电解质材料、电池结构、电堆密封与系统集成等方面的关键技术瓶颈，推动SOFC技术的产业化进程。</w:t>
      </w:r>
    </w:p>
    <w:p w14:paraId="2DD73D90">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b w:val="0"/>
          <w:bCs w:val="0"/>
          <w:color w:val="auto"/>
          <w:sz w:val="28"/>
          <w:szCs w:val="28"/>
          <w:highlight w:val="none"/>
          <w:lang w:val="en-US" w:eastAsia="zh-CN"/>
        </w:rPr>
        <w:t>首层</w:t>
      </w:r>
      <w:r>
        <w:rPr>
          <w:rFonts w:hint="eastAsia" w:ascii="FangSong_GB2312" w:hAnsi="FangSong_GB2312" w:eastAsia="FangSong_GB2312" w:cs="FangSong_GB2312"/>
          <w:b w:val="0"/>
          <w:bCs w:val="0"/>
          <w:color w:val="auto"/>
          <w:sz w:val="28"/>
          <w:szCs w:val="28"/>
          <w:highlight w:val="none"/>
        </w:rPr>
        <w:t>：</w:t>
      </w:r>
      <w:r>
        <w:rPr>
          <w:rFonts w:hint="eastAsia" w:ascii="FangSong_GB2312" w:hAnsi="FangSong_GB2312" w:eastAsia="FangSong_GB2312" w:cs="FangSong_GB2312"/>
          <w:color w:val="auto"/>
          <w:sz w:val="28"/>
          <w:szCs w:val="28"/>
          <w:highlight w:val="none"/>
          <w:lang w:val="en-US" w:eastAsia="zh-CN"/>
        </w:rPr>
        <w:t>改造面积3146.42平方米，其中实验区2880.97平方米，接待大厅及展厅265.45平方米。主要用房包括接待大厅、开放式展厅、海底电缆疲劳和老化测试区、海上风电装备开发区、燃烧与污染物基础研究实验室、光伏组件性能测试区、高分辨率扫描电镜（CCSEM）实验室、熔盐热储能实验平台（含洗消间、废弃物暂存、废水处理间）、样品制备区、理化分析区、数据分析处理区、环境测试区、仓库、实验操作区、标气间、走廊</w:t>
      </w:r>
      <w:r>
        <w:rPr>
          <w:rFonts w:hint="eastAsia" w:ascii="FangSong_GB2312" w:hAnsi="FangSong_GB2312" w:eastAsia="FangSong_GB2312" w:cs="FangSong_GB2312"/>
          <w:color w:val="auto"/>
          <w:sz w:val="28"/>
          <w:szCs w:val="28"/>
          <w:highlight w:val="none"/>
        </w:rPr>
        <w:t>。</w:t>
      </w:r>
    </w:p>
    <w:p w14:paraId="1AF62972">
      <w:pPr>
        <w:shd w:val="clear" w:color="auto" w:fill="auto"/>
        <w:bidi w:val="0"/>
        <w:ind w:firstLine="560"/>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b w:val="0"/>
          <w:bCs w:val="0"/>
          <w:color w:val="auto"/>
          <w:sz w:val="28"/>
          <w:szCs w:val="28"/>
          <w:highlight w:val="none"/>
          <w:lang w:val="en-US" w:eastAsia="zh-CN"/>
        </w:rPr>
        <w:t>三层</w:t>
      </w:r>
      <w:r>
        <w:rPr>
          <w:rFonts w:hint="eastAsia" w:ascii="FangSong_GB2312" w:hAnsi="FangSong_GB2312" w:eastAsia="FangSong_GB2312" w:cs="FangSong_GB2312"/>
          <w:b w:val="0"/>
          <w:bCs w:val="0"/>
          <w:color w:val="auto"/>
          <w:sz w:val="28"/>
          <w:szCs w:val="28"/>
          <w:highlight w:val="none"/>
        </w:rPr>
        <w:t>：</w:t>
      </w:r>
      <w:r>
        <w:rPr>
          <w:rFonts w:hint="eastAsia" w:ascii="FangSong_GB2312" w:hAnsi="FangSong_GB2312" w:eastAsia="FangSong_GB2312" w:cs="FangSong_GB2312"/>
          <w:color w:val="auto"/>
          <w:sz w:val="28"/>
          <w:szCs w:val="28"/>
          <w:highlight w:val="none"/>
          <w:lang w:val="en-US" w:eastAsia="zh-CN"/>
        </w:rPr>
        <w:t>改造面积3245.24平方米。主要用房包括</w:t>
      </w:r>
      <w:r>
        <w:rPr>
          <w:rFonts w:hint="eastAsia" w:ascii="FangSong_GB2312" w:hAnsi="FangSong_GB2312" w:eastAsia="FangSong_GB2312" w:cs="FangSong_GB2312"/>
          <w:color w:val="auto"/>
          <w:sz w:val="28"/>
          <w:szCs w:val="28"/>
          <w:highlight w:val="none"/>
        </w:rPr>
        <w:t>绿色燃料工程实验室（生物质气化+CO</w:t>
      </w:r>
      <w:r>
        <w:rPr>
          <w:rFonts w:hint="eastAsia" w:ascii="FangSong_GB2312" w:hAnsi="FangSong_GB2312" w:eastAsia="FangSong_GB2312" w:cs="FangSong_GB2312"/>
          <w:color w:val="auto"/>
          <w:sz w:val="28"/>
          <w:szCs w:val="28"/>
          <w:highlight w:val="none"/>
          <w:vertAlign w:val="baseline"/>
        </w:rPr>
        <w:t>2</w:t>
      </w:r>
      <w:r>
        <w:rPr>
          <w:rFonts w:hint="eastAsia" w:ascii="FangSong_GB2312" w:hAnsi="FangSong_GB2312" w:eastAsia="FangSong_GB2312" w:cs="FangSong_GB2312"/>
          <w:color w:val="auto"/>
          <w:sz w:val="28"/>
          <w:szCs w:val="28"/>
          <w:highlight w:val="none"/>
        </w:rPr>
        <w:t>加氢合成）、微藻固碳工程实验室、矿化固碳工程实验室、碳捕集工程实验室（化学链+烟气碳捕集）、碳计量技术实验室、燃料电池实验室、氢能实验室、储能实验室、实验操作区、</w:t>
      </w:r>
      <w:r>
        <w:rPr>
          <w:rFonts w:hint="eastAsia" w:ascii="FangSong_GB2312" w:hAnsi="FangSong_GB2312" w:eastAsia="FangSong_GB2312" w:cs="FangSong_GB2312"/>
          <w:color w:val="auto"/>
          <w:sz w:val="28"/>
          <w:szCs w:val="28"/>
          <w:highlight w:val="none"/>
          <w:lang w:val="en-US" w:eastAsia="zh-CN"/>
        </w:rPr>
        <w:t>设备间、</w:t>
      </w:r>
      <w:r>
        <w:rPr>
          <w:rFonts w:hint="eastAsia" w:ascii="FangSong_GB2312" w:hAnsi="FangSong_GB2312" w:eastAsia="FangSong_GB2312" w:cs="FangSong_GB2312"/>
          <w:color w:val="auto"/>
          <w:sz w:val="28"/>
          <w:szCs w:val="28"/>
          <w:highlight w:val="none"/>
        </w:rPr>
        <w:t>更衣室、研发车间、走廊。</w:t>
      </w:r>
    </w:p>
    <w:p w14:paraId="1BD3FEAD">
      <w:pPr>
        <w:shd w:val="clear" w:color="auto" w:fill="auto"/>
        <w:bidi w:val="0"/>
        <w:ind w:firstLine="560"/>
        <w:jc w:val="both"/>
        <w:rPr>
          <w:rFonts w:hint="eastAsia" w:ascii="FangSong_GB2312" w:hAnsi="FangSong_GB2312" w:eastAsia="FangSong_GB2312" w:cs="FangSong_GB2312"/>
          <w:color w:val="auto"/>
          <w:sz w:val="28"/>
          <w:szCs w:val="28"/>
          <w:highlight w:val="none"/>
        </w:rPr>
      </w:pPr>
      <w:r>
        <w:rPr>
          <w:rFonts w:hint="eastAsia" w:ascii="FangSong_GB2312" w:hAnsi="FangSong_GB2312" w:eastAsia="FangSong_GB2312" w:cs="FangSong_GB2312"/>
          <w:b w:val="0"/>
          <w:bCs w:val="0"/>
          <w:color w:val="auto"/>
          <w:sz w:val="28"/>
          <w:szCs w:val="28"/>
          <w:highlight w:val="none"/>
          <w:lang w:val="en-US" w:eastAsia="zh-CN"/>
        </w:rPr>
        <w:t>四层</w:t>
      </w:r>
      <w:r>
        <w:rPr>
          <w:rFonts w:hint="eastAsia" w:ascii="FangSong_GB2312" w:hAnsi="FangSong_GB2312" w:eastAsia="FangSong_GB2312" w:cs="FangSong_GB2312"/>
          <w:b w:val="0"/>
          <w:bCs w:val="0"/>
          <w:color w:val="auto"/>
          <w:sz w:val="28"/>
          <w:szCs w:val="28"/>
          <w:highlight w:val="none"/>
        </w:rPr>
        <w:t>：</w:t>
      </w:r>
      <w:r>
        <w:rPr>
          <w:rFonts w:hint="eastAsia" w:ascii="FangSong_GB2312" w:hAnsi="FangSong_GB2312" w:eastAsia="FangSong_GB2312" w:cs="FangSong_GB2312"/>
          <w:color w:val="auto"/>
          <w:sz w:val="28"/>
          <w:szCs w:val="28"/>
          <w:highlight w:val="none"/>
          <w:lang w:val="en-US" w:eastAsia="zh-CN"/>
        </w:rPr>
        <w:t>改造面积3283.87平方米，其中实验区695.50平方米，研发车间2588.37平方米。主要用房包括前厅、原位电子顺磁共振（EPR）公共检测实验室、微纳电化学实验室、通用设备实验室、大屏展示区域、机房区域、煤的物理与化学特性分析实验室、X射线光电子能谱（XPS）、预留实验室、观察室、设备间、走廊、研发车间、卫生间</w:t>
      </w:r>
      <w:r>
        <w:rPr>
          <w:rFonts w:hint="eastAsia" w:ascii="FangSong_GB2312" w:hAnsi="FangSong_GB2312" w:eastAsia="FangSong_GB2312" w:cs="FangSong_GB2312"/>
          <w:color w:val="auto"/>
          <w:sz w:val="28"/>
          <w:szCs w:val="28"/>
          <w:highlight w:val="none"/>
        </w:rPr>
        <w:t>。</w:t>
      </w:r>
    </w:p>
    <w:p w14:paraId="66FF6263">
      <w:pPr>
        <w:numPr>
          <w:ilvl w:val="-1"/>
          <w:numId w:val="0"/>
        </w:numPr>
        <w:shd w:val="clear" w:color="auto" w:fill="auto"/>
        <w:snapToGrid/>
        <w:spacing w:line="240" w:lineRule="auto"/>
        <w:ind w:firstLine="560"/>
        <w:rPr>
          <w:rFonts w:hint="eastAsia" w:ascii="FangSong_GB2312" w:hAnsi="FangSong_GB2312" w:eastAsia="FangSong_GB2312" w:cs="FangSong_GB2312"/>
          <w:b/>
          <w:bCs/>
          <w:color w:val="auto"/>
          <w:sz w:val="32"/>
          <w:szCs w:val="32"/>
          <w:highlight w:val="none"/>
        </w:rPr>
      </w:pPr>
    </w:p>
    <w:p w14:paraId="4BEF012C">
      <w:pPr>
        <w:shd w:val="clear" w:color="auto" w:fill="auto"/>
        <w:ind w:firstLine="560" w:firstLineChars="0"/>
        <w:jc w:val="both"/>
        <w:rPr>
          <w:rFonts w:hint="eastAsia" w:ascii="FangSong_GB2312" w:hAnsi="FangSong_GB2312" w:eastAsia="FangSong_GB2312" w:cs="FangSong_GB2312"/>
          <w:b w:val="0"/>
          <w:bCs w:val="0"/>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lang w:val="en-US" w:eastAsia="zh-CN"/>
        </w:rPr>
        <w:t>表5.3-1 各层功能用房建筑面积明细表</w:t>
      </w:r>
    </w:p>
    <w:tbl>
      <w:tblPr>
        <w:tblStyle w:val="5"/>
        <w:tblW w:w="842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2"/>
        <w:gridCol w:w="5143"/>
        <w:gridCol w:w="2201"/>
      </w:tblGrid>
      <w:tr w14:paraId="1C788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blHeader/>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1F85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序号</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F776D">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具体用房</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DD18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建筑面积（平方米）</w:t>
            </w:r>
          </w:p>
        </w:tc>
      </w:tr>
      <w:tr w14:paraId="645E4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CAD81">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首层</w:t>
            </w:r>
          </w:p>
        </w:tc>
      </w:tr>
      <w:tr w14:paraId="53F51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E167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A76E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海上风电装备开发区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022E6">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186.36</w:t>
            </w:r>
          </w:p>
        </w:tc>
      </w:tr>
      <w:tr w14:paraId="124F2C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77FC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FD4D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燃烧与污染物基础研究实验室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FC0E1">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180.47</w:t>
            </w:r>
          </w:p>
        </w:tc>
      </w:tr>
      <w:tr w14:paraId="4F95C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BBB3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1B31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光伏组件性能测试区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8D10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386.77</w:t>
            </w:r>
          </w:p>
        </w:tc>
      </w:tr>
      <w:tr w14:paraId="073CA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3C2C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1142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kern w:val="2"/>
                <w:sz w:val="28"/>
                <w:szCs w:val="28"/>
                <w:highlight w:val="none"/>
                <w:u w:val="none"/>
                <w:lang w:val="en-US" w:eastAsia="zh-CN" w:bidi="ar"/>
              </w:rPr>
            </w:pPr>
            <w:r>
              <w:rPr>
                <w:rFonts w:hint="eastAsia" w:ascii="FangSong_GB2312" w:hAnsi="FangSong_GB2312" w:eastAsia="FangSong_GB2312" w:cs="FangSong_GB2312"/>
                <w:i w:val="0"/>
                <w:iCs w:val="0"/>
                <w:color w:val="auto"/>
                <w:kern w:val="2"/>
                <w:sz w:val="28"/>
                <w:szCs w:val="28"/>
                <w:highlight w:val="none"/>
                <w:u w:val="none"/>
                <w:lang w:val="en-US" w:eastAsia="zh-CN" w:bidi="ar"/>
              </w:rPr>
              <w:t>熔盐热储能实验平台</w:t>
            </w:r>
          </w:p>
          <w:p w14:paraId="20B2C37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（含洗消间、废弃物暂存、废水处理间）</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F80D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179.4</w:t>
            </w:r>
          </w:p>
        </w:tc>
      </w:tr>
      <w:tr w14:paraId="045E4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4012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29B4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海底电缆疲劳和老化测试区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9144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290.24</w:t>
            </w:r>
          </w:p>
        </w:tc>
      </w:tr>
      <w:tr w14:paraId="73075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0D37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B686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高分辨率扫描电镜（CCSEM）公共检测实验室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5CFF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121.84</w:t>
            </w:r>
          </w:p>
        </w:tc>
      </w:tr>
      <w:tr w14:paraId="67AED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C0DB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7</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9CE4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实验操作区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0B5C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63.15</w:t>
            </w:r>
          </w:p>
        </w:tc>
      </w:tr>
      <w:tr w14:paraId="38001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9F95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8</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1FE00">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数据分析处理区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0EA6">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64.88</w:t>
            </w:r>
          </w:p>
        </w:tc>
      </w:tr>
      <w:tr w14:paraId="603F0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BCFE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9</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FF3D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理化分析区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5612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175.33</w:t>
            </w:r>
          </w:p>
        </w:tc>
      </w:tr>
      <w:tr w14:paraId="41C91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FC08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default"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sz w:val="28"/>
                <w:szCs w:val="28"/>
                <w:highlight w:val="none"/>
                <w:u w:val="none"/>
                <w:lang w:val="en-US" w:eastAsia="zh-CN"/>
              </w:rPr>
              <w:t>10</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2D8D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环境测试区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CA8E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127.89</w:t>
            </w:r>
          </w:p>
        </w:tc>
      </w:tr>
      <w:tr w14:paraId="44E68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9A2B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11</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A07E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样品制备区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4B43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82.06</w:t>
            </w:r>
          </w:p>
        </w:tc>
      </w:tr>
      <w:tr w14:paraId="140C2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230C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12</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1EDE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标气间</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34F6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156.81</w:t>
            </w:r>
          </w:p>
        </w:tc>
      </w:tr>
      <w:tr w14:paraId="656B1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D2D5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13</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7757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仓库</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CC97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294.99</w:t>
            </w:r>
          </w:p>
        </w:tc>
      </w:tr>
      <w:tr w14:paraId="6BCB6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5AE5D">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14</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016A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接待大厅</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779F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146.06</w:t>
            </w:r>
          </w:p>
        </w:tc>
      </w:tr>
      <w:tr w14:paraId="5F6F4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ACD6A">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15</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0204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展厅</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A878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119.39</w:t>
            </w:r>
          </w:p>
        </w:tc>
      </w:tr>
      <w:tr w14:paraId="60101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7013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16</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1A8F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走廊</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F8D5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570.78</w:t>
            </w:r>
          </w:p>
        </w:tc>
      </w:tr>
      <w:tr w14:paraId="03C91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5EEC3">
            <w:pPr>
              <w:keepNext w:val="0"/>
              <w:keepLines w:val="0"/>
              <w:pageBreakBefore w:val="0"/>
              <w:widowControl/>
              <w:shd w:val="clear" w:color="auto" w:fill="auto"/>
              <w:kinsoku/>
              <w:wordWrap/>
              <w:overflowPunct/>
              <w:topLinePunct w:val="0"/>
              <w:autoSpaceDE/>
              <w:autoSpaceDN/>
              <w:bidi w:val="0"/>
              <w:adjustRightInd/>
              <w:snapToGrid/>
              <w:spacing w:line="240" w:lineRule="auto"/>
              <w:ind w:firstLine="560" w:firstLineChars="0"/>
              <w:jc w:val="both"/>
              <w:rPr>
                <w:rFonts w:hint="eastAsia" w:ascii="FangSong_GB2312" w:hAnsi="FangSong_GB2312" w:eastAsia="FangSong_GB2312" w:cs="FangSong_GB2312"/>
                <w:i w:val="0"/>
                <w:iCs w:val="0"/>
                <w:color w:val="auto"/>
                <w:sz w:val="28"/>
                <w:szCs w:val="28"/>
                <w:highlight w:val="none"/>
                <w:u w:val="none"/>
              </w:rPr>
            </w:pP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D6DE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小计</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B00D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3146.42</w:t>
            </w:r>
          </w:p>
        </w:tc>
      </w:tr>
      <w:tr w14:paraId="04401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25FA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三层</w:t>
            </w:r>
          </w:p>
        </w:tc>
      </w:tr>
      <w:tr w14:paraId="3F74C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0AFD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CC0DD">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绿色燃料工程实验室（生物质气化+CO2加氢合成）</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B34D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265.2</w:t>
            </w:r>
          </w:p>
        </w:tc>
      </w:tr>
      <w:tr w14:paraId="4B857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9BAB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16D4A">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微藻固碳工程实验室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4FB0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281.35</w:t>
            </w:r>
          </w:p>
        </w:tc>
      </w:tr>
      <w:tr w14:paraId="6B61F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7ABB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368EA">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矿化固碳工程实验室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09F3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216.68</w:t>
            </w:r>
          </w:p>
        </w:tc>
      </w:tr>
      <w:tr w14:paraId="11736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D693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C811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碳捕集工程实验室（化学链+烟气碳捕集）</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2C8D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234.54</w:t>
            </w:r>
          </w:p>
        </w:tc>
      </w:tr>
      <w:tr w14:paraId="70AE8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C368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DE66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碳计量技术实验室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BEBD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106.26</w:t>
            </w:r>
          </w:p>
        </w:tc>
      </w:tr>
      <w:tr w14:paraId="10BC4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6A99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5058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燃料电池实验室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13286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392.3</w:t>
            </w:r>
          </w:p>
        </w:tc>
      </w:tr>
      <w:tr w14:paraId="716CF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2E8C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7</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F82D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储能实验室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39FF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417.92</w:t>
            </w:r>
          </w:p>
        </w:tc>
      </w:tr>
      <w:tr w14:paraId="748FF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C030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8</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9C68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氢能实验室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8ACA6">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382.75</w:t>
            </w:r>
          </w:p>
        </w:tc>
      </w:tr>
      <w:tr w14:paraId="2E99C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E1EE6">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9</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557C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实验操作区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CCBD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209.39</w:t>
            </w:r>
          </w:p>
        </w:tc>
      </w:tr>
      <w:tr w14:paraId="2CE56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FEB4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10</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279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休息区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4444D">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48.93</w:t>
            </w:r>
          </w:p>
        </w:tc>
      </w:tr>
      <w:tr w14:paraId="4C8A7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94B4A">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14</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8935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走廊</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91771">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689.92</w:t>
            </w:r>
          </w:p>
        </w:tc>
      </w:tr>
      <w:tr w14:paraId="3CBD4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D5B70">
            <w:pPr>
              <w:keepNext w:val="0"/>
              <w:keepLines w:val="0"/>
              <w:pageBreakBefore w:val="0"/>
              <w:widowControl/>
              <w:shd w:val="clear" w:color="auto" w:fill="auto"/>
              <w:kinsoku/>
              <w:wordWrap/>
              <w:overflowPunct/>
              <w:topLinePunct w:val="0"/>
              <w:autoSpaceDE/>
              <w:autoSpaceDN/>
              <w:bidi w:val="0"/>
              <w:adjustRightInd/>
              <w:snapToGrid/>
              <w:spacing w:line="240" w:lineRule="auto"/>
              <w:ind w:firstLine="560" w:firstLineChars="0"/>
              <w:jc w:val="both"/>
              <w:rPr>
                <w:rFonts w:hint="eastAsia" w:ascii="FangSong_GB2312" w:hAnsi="FangSong_GB2312" w:eastAsia="FangSong_GB2312" w:cs="FangSong_GB2312"/>
                <w:i w:val="0"/>
                <w:iCs w:val="0"/>
                <w:color w:val="auto"/>
                <w:sz w:val="28"/>
                <w:szCs w:val="28"/>
                <w:highlight w:val="none"/>
                <w:u w:val="none"/>
              </w:rPr>
            </w:pP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0AC90">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小计</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6808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3245.24</w:t>
            </w:r>
          </w:p>
        </w:tc>
      </w:tr>
      <w:tr w14:paraId="01F2D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2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510F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四层</w:t>
            </w:r>
          </w:p>
        </w:tc>
      </w:tr>
      <w:tr w14:paraId="5F5F5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6138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5DF6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预留实验室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8D81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307.52</w:t>
            </w:r>
          </w:p>
        </w:tc>
      </w:tr>
      <w:tr w14:paraId="08B7B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385C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2</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5FB4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通用设备实验室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19E8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57.32</w:t>
            </w:r>
          </w:p>
        </w:tc>
      </w:tr>
      <w:tr w14:paraId="5082A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4829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D5B2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大屏展示区域</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DE70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44.45</w:t>
            </w:r>
          </w:p>
        </w:tc>
      </w:tr>
      <w:tr w14:paraId="72344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07D8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4CFE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机房区域</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81996">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58.37</w:t>
            </w:r>
          </w:p>
        </w:tc>
      </w:tr>
      <w:tr w14:paraId="37CF1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C75E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38B2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煤的物理与化学特性分析实验室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C513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72.52</w:t>
            </w:r>
          </w:p>
        </w:tc>
      </w:tr>
      <w:tr w14:paraId="751E7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1D4C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668ED">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原位电子顺磁共振（EPR）公共检测实验室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45BDC">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60.11</w:t>
            </w:r>
          </w:p>
        </w:tc>
      </w:tr>
      <w:tr w14:paraId="6EE1A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67249">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7</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45F9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微纳电化学实验室</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F3F2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67.63</w:t>
            </w:r>
          </w:p>
        </w:tc>
      </w:tr>
      <w:tr w14:paraId="7FB6D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2946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8</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341F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X射线电子能谱（XPS）</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0028">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14.16</w:t>
            </w:r>
          </w:p>
        </w:tc>
      </w:tr>
      <w:tr w14:paraId="4BD63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AD54A">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9</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745D6">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卫生间</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EEDEF">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38.1</w:t>
            </w:r>
          </w:p>
        </w:tc>
      </w:tr>
      <w:tr w14:paraId="4E49E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3D137">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10</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1DBC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休息区</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1B7F2">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50.56</w:t>
            </w:r>
          </w:p>
        </w:tc>
      </w:tr>
      <w:tr w14:paraId="3A078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7EC85">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11</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7714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研发车间</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FA530">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1645.04</w:t>
            </w:r>
          </w:p>
        </w:tc>
      </w:tr>
      <w:tr w14:paraId="70AEF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3A7C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12</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046E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大厅</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2746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46.5</w:t>
            </w:r>
          </w:p>
        </w:tc>
      </w:tr>
      <w:tr w14:paraId="2E4F9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B4B0D">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13</w:t>
            </w: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46573">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走廊</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CD5DB">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i w:val="0"/>
                <w:iCs w:val="0"/>
                <w:color w:val="auto"/>
                <w:sz w:val="28"/>
                <w:szCs w:val="28"/>
                <w:highlight w:val="none"/>
                <w:u w:val="none"/>
              </w:rPr>
            </w:pPr>
            <w:r>
              <w:rPr>
                <w:rFonts w:hint="eastAsia" w:ascii="FangSong_GB2312" w:hAnsi="FangSong_GB2312" w:eastAsia="FangSong_GB2312" w:cs="FangSong_GB2312"/>
                <w:i w:val="0"/>
                <w:iCs w:val="0"/>
                <w:color w:val="auto"/>
                <w:kern w:val="2"/>
                <w:sz w:val="28"/>
                <w:szCs w:val="28"/>
                <w:highlight w:val="none"/>
                <w:u w:val="none"/>
                <w:lang w:val="en-US" w:eastAsia="zh-CN" w:bidi="ar"/>
              </w:rPr>
              <w:t>821.59</w:t>
            </w:r>
          </w:p>
        </w:tc>
      </w:tr>
      <w:tr w14:paraId="4C2E0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0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0C122">
            <w:pPr>
              <w:keepNext w:val="0"/>
              <w:keepLines w:val="0"/>
              <w:pageBreakBefore w:val="0"/>
              <w:widowControl/>
              <w:shd w:val="clear" w:color="auto" w:fill="auto"/>
              <w:kinsoku/>
              <w:wordWrap/>
              <w:overflowPunct/>
              <w:topLinePunct w:val="0"/>
              <w:autoSpaceDE/>
              <w:autoSpaceDN/>
              <w:bidi w:val="0"/>
              <w:adjustRightInd/>
              <w:snapToGrid/>
              <w:spacing w:line="240" w:lineRule="auto"/>
              <w:ind w:firstLine="560" w:firstLineChars="0"/>
              <w:jc w:val="both"/>
              <w:rPr>
                <w:rFonts w:hint="eastAsia" w:ascii="FangSong_GB2312" w:hAnsi="FangSong_GB2312" w:eastAsia="FangSong_GB2312" w:cs="FangSong_GB2312"/>
                <w:b w:val="0"/>
                <w:bCs w:val="0"/>
                <w:i w:val="0"/>
                <w:iCs w:val="0"/>
                <w:color w:val="auto"/>
                <w:sz w:val="28"/>
                <w:szCs w:val="28"/>
                <w:highlight w:val="none"/>
                <w:u w:val="none"/>
              </w:rPr>
            </w:pPr>
          </w:p>
        </w:tc>
        <w:tc>
          <w:tcPr>
            <w:tcW w:w="514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17A54">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小计</w:t>
            </w:r>
          </w:p>
        </w:tc>
        <w:tc>
          <w:tcPr>
            <w:tcW w:w="220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7D75E">
            <w:pPr>
              <w:keepNext w:val="0"/>
              <w:keepLines w:val="0"/>
              <w:pageBreakBefore w:val="0"/>
              <w:widowControl/>
              <w:suppressLineNumbers w:val="0"/>
              <w:shd w:val="clear" w:color="auto" w:fill="auto"/>
              <w:kinsoku/>
              <w:wordWrap/>
              <w:overflowPunct/>
              <w:topLinePunct w:val="0"/>
              <w:autoSpaceDE/>
              <w:autoSpaceDN/>
              <w:bidi w:val="0"/>
              <w:adjustRightInd/>
              <w:snapToGrid/>
              <w:spacing w:line="240" w:lineRule="auto"/>
              <w:ind w:firstLine="560" w:firstLineChars="0"/>
              <w:jc w:val="both"/>
              <w:textAlignment w:val="auto"/>
              <w:rPr>
                <w:rFonts w:hint="eastAsia" w:ascii="FangSong_GB2312" w:hAnsi="FangSong_GB2312" w:eastAsia="FangSong_GB2312" w:cs="FangSong_GB2312"/>
                <w:b w:val="0"/>
                <w:bCs w:val="0"/>
                <w:i w:val="0"/>
                <w:iCs w:val="0"/>
                <w:color w:val="auto"/>
                <w:sz w:val="28"/>
                <w:szCs w:val="28"/>
                <w:highlight w:val="none"/>
                <w:u w:val="none"/>
              </w:rPr>
            </w:pPr>
            <w:r>
              <w:rPr>
                <w:rFonts w:hint="eastAsia" w:ascii="FangSong_GB2312" w:hAnsi="FangSong_GB2312" w:eastAsia="FangSong_GB2312" w:cs="FangSong_GB2312"/>
                <w:b w:val="0"/>
                <w:bCs w:val="0"/>
                <w:i w:val="0"/>
                <w:iCs w:val="0"/>
                <w:color w:val="auto"/>
                <w:kern w:val="2"/>
                <w:sz w:val="28"/>
                <w:szCs w:val="28"/>
                <w:highlight w:val="none"/>
                <w:u w:val="none"/>
                <w:lang w:val="en-US" w:eastAsia="zh-CN" w:bidi="ar"/>
              </w:rPr>
              <w:t>3283.87</w:t>
            </w:r>
          </w:p>
        </w:tc>
      </w:tr>
    </w:tbl>
    <w:p w14:paraId="243AFDEA">
      <w:pPr>
        <w:pStyle w:val="4"/>
        <w:snapToGrid w:val="0"/>
        <w:spacing w:line="360" w:lineRule="auto"/>
        <w:ind w:firstLine="0" w:firstLineChars="0"/>
        <w:rPr>
          <w:rFonts w:ascii="FangSong_GB2312" w:hAnsi="FangSong_GB2312" w:eastAsia="FangSong_GB2312" w:cs="FangSong_GB2312"/>
          <w:color w:val="auto"/>
          <w:sz w:val="28"/>
          <w:szCs w:val="28"/>
          <w:highlight w:val="none"/>
          <w:lang w:val="en-US"/>
        </w:rPr>
      </w:pPr>
    </w:p>
    <w:p w14:paraId="231CE324">
      <w:pPr>
        <w:snapToGrid w:val="0"/>
        <w:spacing w:line="360" w:lineRule="auto"/>
        <w:ind w:firstLine="562" w:firstLineChars="200"/>
        <w:jc w:val="left"/>
        <w:rPr>
          <w:rFonts w:ascii="FangSong_GB2312" w:hAnsi="FangSong_GB2312" w:eastAsia="FangSong_GB2312" w:cs="FangSong_GB2312"/>
          <w:b/>
          <w:color w:val="auto"/>
          <w:sz w:val="28"/>
          <w:szCs w:val="28"/>
          <w:highlight w:val="none"/>
        </w:rPr>
      </w:pPr>
      <w:r>
        <w:rPr>
          <w:rFonts w:hint="eastAsia" w:ascii="FangSong_GB2312" w:hAnsi="FangSong_GB2312" w:eastAsia="FangSong_GB2312" w:cs="FangSong_GB2312"/>
          <w:b/>
          <w:color w:val="auto"/>
          <w:sz w:val="28"/>
          <w:szCs w:val="28"/>
          <w:highlight w:val="none"/>
        </w:rPr>
        <w:t>2.各阶段的设计工作</w:t>
      </w:r>
    </w:p>
    <w:p w14:paraId="41E86E37">
      <w:pPr>
        <w:snapToGrid w:val="0"/>
        <w:spacing w:line="360" w:lineRule="auto"/>
        <w:ind w:right="-57" w:rightChars="-27" w:firstLine="560" w:firstLineChars="20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设计单位应根据本项目工程建设的要求和中国及地方有关法律、法规、规范，完成包括以下工作：</w:t>
      </w:r>
    </w:p>
    <w:p w14:paraId="777C2EFD">
      <w:pPr>
        <w:pStyle w:val="9"/>
        <w:spacing w:line="360" w:lineRule="auto"/>
        <w:ind w:right="-57" w:rightChars="-27" w:firstLine="560"/>
        <w:rPr>
          <w:rFonts w:hint="default"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rPr>
        <w:t>1）完成方案的深化设计并负责与政府各部门对接和向上级部门方案汇报和修改工作，编制方案的设计</w:t>
      </w:r>
      <w:r>
        <w:rPr>
          <w:rFonts w:hint="eastAsia" w:ascii="FangSong_GB2312" w:hAnsi="FangSong_GB2312" w:eastAsia="FangSong_GB2312" w:cs="FangSong_GB2312"/>
          <w:color w:val="auto"/>
          <w:sz w:val="28"/>
          <w:szCs w:val="28"/>
          <w:highlight w:val="none"/>
          <w:lang w:val="en-US" w:eastAsia="zh-CN"/>
        </w:rPr>
        <w:t>预</w:t>
      </w:r>
      <w:r>
        <w:rPr>
          <w:rFonts w:hint="eastAsia" w:ascii="FangSong_GB2312" w:hAnsi="FangSong_GB2312" w:eastAsia="FangSong_GB2312" w:cs="FangSong_GB2312"/>
          <w:color w:val="auto"/>
          <w:sz w:val="28"/>
          <w:szCs w:val="28"/>
          <w:highlight w:val="none"/>
        </w:rPr>
        <w:t>算，</w:t>
      </w:r>
      <w:r>
        <w:rPr>
          <w:rFonts w:hint="eastAsia" w:ascii="FangSong_GB2312" w:hAnsi="FangSong_GB2312" w:eastAsia="FangSong_GB2312" w:cs="FangSong_GB2312"/>
          <w:color w:val="auto"/>
          <w:sz w:val="28"/>
          <w:szCs w:val="28"/>
          <w:highlight w:val="none"/>
          <w:lang w:val="en-US" w:eastAsia="zh-CN"/>
        </w:rPr>
        <w:t>完成空间效果图就</w:t>
      </w:r>
      <w:r>
        <w:rPr>
          <w:rFonts w:hint="eastAsia" w:ascii="FangSong_GB2312" w:hAnsi="FangSong_GB2312" w:eastAsia="FangSong_GB2312" w:cs="FangSong_GB2312"/>
          <w:color w:val="auto"/>
          <w:sz w:val="28"/>
          <w:szCs w:val="28"/>
          <w:highlight w:val="none"/>
        </w:rPr>
        <w:t>及</w:t>
      </w:r>
      <w:r>
        <w:rPr>
          <w:rFonts w:hint="eastAsia" w:ascii="FangSong_GB2312" w:hAnsi="FangSong_GB2312" w:eastAsia="FangSong_GB2312" w:cs="FangSong_GB2312"/>
          <w:color w:val="auto"/>
          <w:sz w:val="28"/>
          <w:szCs w:val="28"/>
          <w:highlight w:val="none"/>
          <w:lang w:val="en-US" w:eastAsia="zh-CN"/>
        </w:rPr>
        <w:t>提供装饰方案材料样板。</w:t>
      </w:r>
    </w:p>
    <w:p w14:paraId="5D999AC1">
      <w:pPr>
        <w:pStyle w:val="9"/>
        <w:spacing w:line="360" w:lineRule="auto"/>
        <w:ind w:right="-57" w:rightChars="-27"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2）编制设计</w:t>
      </w:r>
      <w:r>
        <w:rPr>
          <w:rFonts w:hint="eastAsia" w:ascii="FangSong_GB2312" w:hAnsi="FangSong_GB2312" w:eastAsia="FangSong_GB2312" w:cs="FangSong_GB2312"/>
          <w:color w:val="auto"/>
          <w:sz w:val="28"/>
          <w:szCs w:val="28"/>
          <w:highlight w:val="none"/>
          <w:lang w:val="en-US" w:eastAsia="zh-CN"/>
        </w:rPr>
        <w:t>预算</w:t>
      </w:r>
      <w:r>
        <w:rPr>
          <w:rFonts w:hint="eastAsia" w:ascii="FangSong_GB2312" w:hAnsi="FangSong_GB2312" w:eastAsia="FangSong_GB2312" w:cs="FangSong_GB2312"/>
          <w:color w:val="auto"/>
          <w:sz w:val="28"/>
          <w:szCs w:val="28"/>
          <w:highlight w:val="none"/>
          <w:lang w:eastAsia="zh-CN"/>
        </w:rPr>
        <w:t>，</w:t>
      </w:r>
      <w:r>
        <w:rPr>
          <w:rFonts w:hint="eastAsia" w:ascii="FangSong_GB2312" w:hAnsi="FangSong_GB2312" w:eastAsia="FangSong_GB2312" w:cs="FangSong_GB2312"/>
          <w:color w:val="auto"/>
          <w:sz w:val="28"/>
          <w:szCs w:val="28"/>
          <w:highlight w:val="none"/>
        </w:rPr>
        <w:t>配合</w:t>
      </w:r>
      <w:r>
        <w:rPr>
          <w:rFonts w:hint="eastAsia" w:ascii="FangSong_GB2312" w:hAnsi="FangSong_GB2312" w:eastAsia="FangSong_GB2312" w:cs="FangSong_GB2312"/>
          <w:color w:val="auto"/>
          <w:sz w:val="28"/>
          <w:szCs w:val="28"/>
          <w:highlight w:val="none"/>
          <w:lang w:val="en-US" w:eastAsia="zh-CN"/>
        </w:rPr>
        <w:t>预</w:t>
      </w:r>
      <w:r>
        <w:rPr>
          <w:rFonts w:hint="eastAsia" w:ascii="FangSong_GB2312" w:hAnsi="FangSong_GB2312" w:eastAsia="FangSong_GB2312" w:cs="FangSong_GB2312"/>
          <w:color w:val="auto"/>
          <w:sz w:val="28"/>
          <w:szCs w:val="28"/>
          <w:highlight w:val="none"/>
        </w:rPr>
        <w:t>算评审等工作；</w:t>
      </w:r>
    </w:p>
    <w:p w14:paraId="422DFBF1">
      <w:pPr>
        <w:pStyle w:val="9"/>
        <w:spacing w:line="360" w:lineRule="auto"/>
        <w:ind w:right="-57" w:rightChars="-27"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3）完成施工图设计，确保施工图设计文件通过施工图审查及消防设计审查；并提交施工图内审文件。</w:t>
      </w:r>
    </w:p>
    <w:p w14:paraId="6DCA18CD">
      <w:pPr>
        <w:pStyle w:val="9"/>
        <w:spacing w:line="360" w:lineRule="auto"/>
        <w:ind w:right="-57" w:rightChars="-27"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4）负责设备、大宗材料采购时采购清单、技术参数等编制工作，还包括各阶段方案比选、技术选型比选的投资分析、施工阶段的设计变更造价变化分析等；</w:t>
      </w:r>
    </w:p>
    <w:p w14:paraId="62ED6392">
      <w:pPr>
        <w:snapToGrid w:val="0"/>
        <w:spacing w:line="360" w:lineRule="auto"/>
        <w:ind w:firstLine="560" w:firstLineChars="200"/>
        <w:jc w:val="left"/>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5）配合开展前期报建报批、方案审查、专业报建、设计图纸评审、</w:t>
      </w:r>
      <w:r>
        <w:rPr>
          <w:rFonts w:hint="eastAsia" w:ascii="FangSong_GB2312" w:hAnsi="FangSong_GB2312" w:eastAsia="FangSong_GB2312" w:cs="FangSong_GB2312"/>
          <w:color w:val="auto"/>
          <w:sz w:val="28"/>
          <w:szCs w:val="28"/>
          <w:highlight w:val="none"/>
          <w:lang w:val="en-US" w:eastAsia="zh-CN"/>
        </w:rPr>
        <w:t>预</w:t>
      </w:r>
      <w:r>
        <w:rPr>
          <w:rFonts w:hint="eastAsia" w:ascii="FangSong_GB2312" w:hAnsi="FangSong_GB2312" w:eastAsia="FangSong_GB2312" w:cs="FangSong_GB2312"/>
          <w:color w:val="auto"/>
          <w:sz w:val="28"/>
          <w:szCs w:val="28"/>
          <w:highlight w:val="none"/>
        </w:rPr>
        <w:t>算评审、施工图审查，以及从开工至项目竣工验收的现场服务及专人驻场服务（包括现场指导与监督、图纸修改、工程变更等工作）、配合完成工程验收和竣工图（含验收通过）等；包括申请临时用水、临时排水、临时用电，以及永久外水、永久外电、燃气管道的设计报批和出图。</w:t>
      </w:r>
    </w:p>
    <w:p w14:paraId="2295F30C">
      <w:pPr>
        <w:pStyle w:val="9"/>
        <w:spacing w:line="360" w:lineRule="auto"/>
        <w:ind w:right="-57" w:rightChars="-27"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6）除应按合同规定的时间和要求向发包人提出设计成果外，还应承担工程施工过程直至竣工验收前的设计服务等工作，保证设计变更满足施工进度要求，并按发包人要求准备汇报材料；</w:t>
      </w:r>
    </w:p>
    <w:p w14:paraId="1B1AC109">
      <w:pPr>
        <w:pStyle w:val="9"/>
        <w:spacing w:line="360" w:lineRule="auto"/>
        <w:ind w:right="-57" w:rightChars="-27"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7）负责根据建设方要求组织各项专家评审（包含但不限于技术方案、设计变更等），并承担相应的专家评审费用和差旅费用；</w:t>
      </w:r>
    </w:p>
    <w:p w14:paraId="4E85DCA6">
      <w:pPr>
        <w:pStyle w:val="9"/>
        <w:spacing w:line="360" w:lineRule="auto"/>
        <w:ind w:right="-57" w:rightChars="-27"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9）负责项目竣工图审核。</w:t>
      </w:r>
    </w:p>
    <w:p w14:paraId="1429CD19">
      <w:pPr>
        <w:pStyle w:val="10"/>
        <w:snapToGrid w:val="0"/>
        <w:spacing w:line="360" w:lineRule="auto"/>
        <w:ind w:firstLine="56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10）提供各阶段设计成果内审文件。</w:t>
      </w:r>
    </w:p>
    <w:p w14:paraId="65901F80">
      <w:pPr>
        <w:pStyle w:val="10"/>
        <w:snapToGrid w:val="0"/>
        <w:spacing w:line="360" w:lineRule="auto"/>
        <w:ind w:firstLine="560"/>
        <w:rPr>
          <w:rFonts w:ascii="FangSong_GB2312" w:hAnsi="FangSong_GB2312" w:eastAsia="FangSong_GB2312" w:cs="FangSong_GB2312"/>
          <w:color w:val="auto"/>
          <w:sz w:val="24"/>
          <w:highlight w:val="none"/>
        </w:rPr>
      </w:pPr>
      <w:r>
        <w:rPr>
          <w:rFonts w:hint="eastAsia" w:ascii="FangSong_GB2312" w:hAnsi="FangSong_GB2312" w:eastAsia="FangSong_GB2312" w:cs="FangSong_GB2312"/>
          <w:color w:val="auto"/>
          <w:sz w:val="28"/>
          <w:szCs w:val="28"/>
          <w:highlight w:val="none"/>
          <w:lang w:val="en-US" w:eastAsia="zh-CN"/>
        </w:rPr>
        <w:t>11</w:t>
      </w:r>
      <w:r>
        <w:rPr>
          <w:rFonts w:hint="eastAsia" w:ascii="FangSong_GB2312" w:hAnsi="FangSong_GB2312" w:eastAsia="FangSong_GB2312" w:cs="FangSong_GB2312"/>
          <w:color w:val="auto"/>
          <w:sz w:val="28"/>
          <w:szCs w:val="28"/>
          <w:highlight w:val="none"/>
        </w:rPr>
        <w:t>）设计单位应派相关设计人员每周至少一次巡场，形成巡场报告，并提交监理监督落实。</w:t>
      </w:r>
    </w:p>
    <w:p w14:paraId="70244F59">
      <w:pPr>
        <w:snapToGrid w:val="0"/>
        <w:spacing w:line="360" w:lineRule="auto"/>
        <w:jc w:val="left"/>
        <w:rPr>
          <w:rFonts w:ascii="仿宋" w:hAnsi="仿宋" w:eastAsia="仿宋" w:cs="仿宋"/>
          <w:b/>
          <w:color w:val="auto"/>
          <w:sz w:val="32"/>
          <w:szCs w:val="32"/>
          <w:highlight w:val="none"/>
        </w:rPr>
      </w:pPr>
    </w:p>
    <w:p w14:paraId="3C03435A">
      <w:pPr>
        <w:snapToGrid w:val="0"/>
        <w:spacing w:line="360" w:lineRule="auto"/>
        <w:jc w:val="left"/>
        <w:rPr>
          <w:rFonts w:ascii="仿宋" w:hAnsi="仿宋" w:eastAsia="仿宋" w:cs="仿宋"/>
          <w:b/>
          <w:color w:val="auto"/>
          <w:sz w:val="32"/>
          <w:szCs w:val="32"/>
          <w:highlight w:val="none"/>
        </w:rPr>
      </w:pPr>
      <w:r>
        <w:rPr>
          <w:rFonts w:hint="eastAsia" w:ascii="仿宋" w:hAnsi="仿宋" w:eastAsia="仿宋" w:cs="仿宋"/>
          <w:b/>
          <w:color w:val="auto"/>
          <w:sz w:val="32"/>
          <w:szCs w:val="32"/>
          <w:highlight w:val="none"/>
        </w:rPr>
        <w:t>六、设计要求</w:t>
      </w:r>
    </w:p>
    <w:p w14:paraId="6338AEAF">
      <w:pPr>
        <w:snapToGrid w:val="0"/>
        <w:spacing w:line="360" w:lineRule="auto"/>
        <w:jc w:val="left"/>
        <w:rPr>
          <w:rFonts w:ascii="FangSong_GB2312" w:hAnsi="FangSong_GB2312" w:eastAsia="FangSong_GB2312" w:cs="FangSong_GB2312"/>
          <w:b/>
          <w:color w:val="auto"/>
          <w:sz w:val="28"/>
          <w:szCs w:val="28"/>
          <w:highlight w:val="none"/>
        </w:rPr>
      </w:pPr>
      <w:r>
        <w:rPr>
          <w:rFonts w:hint="eastAsia" w:ascii="FangSong_GB2312" w:hAnsi="FangSong_GB2312" w:eastAsia="FangSong_GB2312" w:cs="FangSong_GB2312"/>
          <w:b/>
          <w:color w:val="auto"/>
          <w:sz w:val="28"/>
          <w:szCs w:val="28"/>
          <w:highlight w:val="none"/>
        </w:rPr>
        <w:t>6.1总体要求</w:t>
      </w:r>
    </w:p>
    <w:p w14:paraId="7F0910A6">
      <w:pPr>
        <w:snapToGrid w:val="0"/>
        <w:spacing w:line="360" w:lineRule="auto"/>
        <w:ind w:firstLine="700" w:firstLineChars="25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6.1.1设计文件包括但不仅限于以下内容：建筑、结构、电气、给排水、暖通、动力、消防、室内室外管线综合、电梯、方案投资估算、初步设计概算以及当地政府及行业报批报建所需的专业设计工作和成果。设计成果应达到建设部颁发的《建筑工程设计文件编制深度规定》</w:t>
      </w:r>
      <w:r>
        <w:rPr>
          <w:rFonts w:hint="eastAsia" w:ascii="FangSong_GB2312" w:hAnsi="FangSong_GB2312" w:eastAsia="FangSong_GB2312" w:cs="FangSong_GB2312"/>
          <w:color w:val="auto"/>
          <w:sz w:val="28"/>
          <w:szCs w:val="28"/>
          <w:highlight w:val="none"/>
          <w:lang w:eastAsia="zh-CN"/>
        </w:rPr>
        <w:t>。</w:t>
      </w:r>
    </w:p>
    <w:p w14:paraId="5B1F19A5">
      <w:pPr>
        <w:snapToGrid w:val="0"/>
        <w:spacing w:line="360" w:lineRule="auto"/>
        <w:ind w:firstLine="420" w:firstLineChars="150"/>
        <w:rPr>
          <w:rFonts w:hint="eastAsia" w:ascii="FangSong_GB2312" w:hAnsi="FangSong_GB2312" w:eastAsia="FangSong_GB2312" w:cs="FangSong_GB2312"/>
          <w:color w:val="auto"/>
          <w:sz w:val="28"/>
          <w:szCs w:val="28"/>
          <w:highlight w:val="none"/>
          <w:lang w:eastAsia="zh-CN"/>
        </w:rPr>
      </w:pPr>
      <w:r>
        <w:rPr>
          <w:rFonts w:hint="eastAsia" w:ascii="FangSong_GB2312" w:hAnsi="FangSong_GB2312" w:eastAsia="FangSong_GB2312" w:cs="FangSong_GB2312"/>
          <w:color w:val="auto"/>
          <w:sz w:val="28"/>
          <w:szCs w:val="28"/>
          <w:highlight w:val="none"/>
        </w:rPr>
        <w:t>6.1.2本项目采用实行限额、限规模设计，具体规划指标应严格满足规划设计条件的要求</w:t>
      </w:r>
      <w:r>
        <w:rPr>
          <w:rFonts w:hint="eastAsia" w:ascii="FangSong_GB2312" w:hAnsi="FangSong_GB2312" w:eastAsia="FangSong_GB2312" w:cs="FangSong_GB2312"/>
          <w:color w:val="auto"/>
          <w:sz w:val="28"/>
          <w:szCs w:val="28"/>
          <w:highlight w:val="none"/>
          <w:lang w:eastAsia="zh-CN"/>
        </w:rPr>
        <w:t>。</w:t>
      </w:r>
    </w:p>
    <w:p w14:paraId="72B6644B">
      <w:pPr>
        <w:snapToGrid w:val="0"/>
        <w:spacing w:line="360" w:lineRule="auto"/>
        <w:ind w:firstLine="420" w:firstLineChars="15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6.1.3设计单位应依据建设单位的投资开发同时应注意选用节能、环保、健康的材料，合理的施工技术和工期，严格控制成本造价，降低运营费用。</w:t>
      </w:r>
    </w:p>
    <w:p w14:paraId="7AB0209C">
      <w:pPr>
        <w:snapToGrid w:val="0"/>
        <w:spacing w:line="360" w:lineRule="auto"/>
        <w:ind w:firstLine="420" w:firstLineChars="15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6.1.4在项目报建阶段满足建设单位报批各种手续的要求，分阶段提供所需的设计文件。</w:t>
      </w:r>
    </w:p>
    <w:p w14:paraId="2224F69D">
      <w:pPr>
        <w:snapToGrid w:val="0"/>
        <w:spacing w:line="360" w:lineRule="auto"/>
        <w:ind w:firstLine="420" w:firstLineChars="150"/>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6.1.5各专业图纸必须符合国家现行的技术规范及标准要求，达到《建筑工程设计文件编制深度规定》深度要求。施工阶段需要对施工单位深化设计成果进行确认，并加盖审核章。</w:t>
      </w:r>
    </w:p>
    <w:p w14:paraId="6A9D5557">
      <w:pPr>
        <w:snapToGrid w:val="0"/>
        <w:spacing w:line="360" w:lineRule="auto"/>
        <w:jc w:val="left"/>
        <w:rPr>
          <w:rFonts w:hint="default" w:ascii="FangSong_GB2312" w:hAnsi="FangSong_GB2312" w:eastAsia="FangSong_GB2312" w:cs="FangSong_GB2312"/>
          <w:b/>
          <w:color w:val="auto"/>
          <w:sz w:val="28"/>
          <w:szCs w:val="28"/>
          <w:highlight w:val="none"/>
          <w:lang w:val="en-US" w:eastAsia="zh-CN"/>
        </w:rPr>
      </w:pPr>
      <w:r>
        <w:rPr>
          <w:rFonts w:hint="eastAsia" w:ascii="FangSong_GB2312" w:hAnsi="FangSong_GB2312" w:eastAsia="FangSong_GB2312" w:cs="FangSong_GB2312"/>
          <w:b/>
          <w:color w:val="auto"/>
          <w:sz w:val="28"/>
          <w:szCs w:val="28"/>
          <w:highlight w:val="none"/>
        </w:rPr>
        <w:t>6.2</w:t>
      </w:r>
      <w:r>
        <w:rPr>
          <w:rFonts w:hint="eastAsia" w:ascii="FangSong_GB2312" w:hAnsi="FangSong_GB2312" w:eastAsia="FangSong_GB2312" w:cs="FangSong_GB2312"/>
          <w:b/>
          <w:color w:val="auto"/>
          <w:sz w:val="28"/>
          <w:szCs w:val="28"/>
          <w:highlight w:val="none"/>
          <w:lang w:val="en-US" w:eastAsia="zh-CN"/>
        </w:rPr>
        <w:t>建设项目现装</w:t>
      </w:r>
    </w:p>
    <w:p w14:paraId="13E61958">
      <w:pPr>
        <w:bidi w:val="0"/>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eastAsia="zh-CN"/>
        </w:rPr>
        <w:t>项目现为丙类多层厂房建筑，耐火等级二级，2023年竣工，建筑高度23.5m，其中，首层高度6m，荷载1T；二层高度5.5m，荷载1T；三层高度6.5m，荷载1.5T；四层高度5.5m，荷载1T。</w:t>
      </w:r>
    </w:p>
    <w:p w14:paraId="2D08EAF0">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r>
        <w:rPr>
          <w:rFonts w:hint="eastAsia" w:ascii="FangSong_GB2312" w:hAnsi="FangSong_GB2312" w:eastAsia="FangSong_GB2312" w:cs="FangSong_GB2312"/>
          <w:color w:val="auto"/>
          <w:sz w:val="28"/>
          <w:szCs w:val="28"/>
          <w:highlight w:val="none"/>
          <w:lang w:val="en-US" w:eastAsia="zh-CN"/>
        </w:rPr>
        <w:t>项目所在建筑物内部现状为毛坯状态，消防设施、管道及水电系统已初步敷设。在项目正式开展实验室建设施工前，需先对现有结构、墙体、关键系统等方面进行拆除与适应性改造，以满足实验室功能布局、荷载安全及系统配套等要求。</w:t>
      </w:r>
    </w:p>
    <w:p w14:paraId="434C2AED">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p w14:paraId="70962619">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p w14:paraId="0F34286B">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p w14:paraId="4EE1BDF2">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p w14:paraId="3C161E74">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p w14:paraId="5062200F">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tbl>
      <w:tblPr>
        <w:tblStyle w:val="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475"/>
        <w:gridCol w:w="4047"/>
      </w:tblGrid>
      <w:tr w14:paraId="59FC8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475" w:type="dxa"/>
          </w:tcPr>
          <w:p w14:paraId="20C51AF5">
            <w:pPr>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Times New Roman" w:hAnsi="Times New Roman" w:eastAsia="宋体"/>
                <w:b/>
                <w:bCs/>
                <w:color w:val="auto"/>
                <w:highlight w:val="none"/>
                <w:vertAlign w:val="baseline"/>
                <w:lang w:val="en-US" w:eastAsia="zh-CN"/>
              </w:rPr>
            </w:pPr>
            <w:r>
              <w:rPr>
                <w:rFonts w:hint="eastAsia" w:ascii="宋体-18030" w:hAnsi="宋体-18030" w:eastAsia="宋体-18030" w:cs="宋体-18030"/>
                <w:color w:val="auto"/>
                <w:sz w:val="28"/>
                <w:szCs w:val="36"/>
                <w:highlight w:val="none"/>
              </w:rPr>
              <w:drawing>
                <wp:inline distT="0" distB="0" distL="114300" distR="114300">
                  <wp:extent cx="2708275" cy="1461770"/>
                  <wp:effectExtent l="0" t="0" r="15875" b="5080"/>
                  <wp:docPr id="6" name="图片 2" descr="微信图片_20251209171345_94_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descr="微信图片_20251209171345_94_130"/>
                          <pic:cNvPicPr>
                            <a:picLocks noChangeAspect="1"/>
                          </pic:cNvPicPr>
                        </pic:nvPicPr>
                        <pic:blipFill>
                          <a:blip r:embed="rId5"/>
                          <a:stretch>
                            <a:fillRect/>
                          </a:stretch>
                        </pic:blipFill>
                        <pic:spPr>
                          <a:xfrm>
                            <a:off x="0" y="0"/>
                            <a:ext cx="2708275" cy="1461770"/>
                          </a:xfrm>
                          <a:prstGeom prst="rect">
                            <a:avLst/>
                          </a:prstGeom>
                          <a:noFill/>
                          <a:ln>
                            <a:noFill/>
                          </a:ln>
                        </pic:spPr>
                      </pic:pic>
                    </a:graphicData>
                  </a:graphic>
                </wp:inline>
              </w:drawing>
            </w:r>
          </w:p>
        </w:tc>
        <w:tc>
          <w:tcPr>
            <w:tcW w:w="4047" w:type="dxa"/>
          </w:tcPr>
          <w:p w14:paraId="43ACFAE9">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imes New Roman" w:hAnsi="Times New Roman" w:eastAsia="宋体"/>
                <w:b/>
                <w:bCs/>
                <w:color w:val="auto"/>
                <w:highlight w:val="none"/>
                <w:vertAlign w:val="baseline"/>
                <w:lang w:val="en-US" w:eastAsia="zh-CN"/>
              </w:rPr>
            </w:pPr>
            <w:r>
              <w:rPr>
                <w:rFonts w:hint="eastAsia" w:ascii="宋体-18030" w:hAnsi="宋体-18030" w:eastAsia="宋体-18030" w:cs="宋体-18030"/>
                <w:color w:val="auto"/>
                <w:sz w:val="28"/>
                <w:szCs w:val="36"/>
                <w:highlight w:val="none"/>
              </w:rPr>
              <w:drawing>
                <wp:inline distT="0" distB="0" distL="114300" distR="114300">
                  <wp:extent cx="2458085" cy="1459230"/>
                  <wp:effectExtent l="0" t="0" r="18415" b="7620"/>
                  <wp:docPr id="7" name="图片 3" descr="微信图片_20251209171410_95_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微信图片_20251209171410_95_130"/>
                          <pic:cNvPicPr>
                            <a:picLocks noChangeAspect="1"/>
                          </pic:cNvPicPr>
                        </pic:nvPicPr>
                        <pic:blipFill>
                          <a:blip r:embed="rId6"/>
                          <a:stretch>
                            <a:fillRect/>
                          </a:stretch>
                        </pic:blipFill>
                        <pic:spPr>
                          <a:xfrm>
                            <a:off x="0" y="0"/>
                            <a:ext cx="2458085" cy="1459230"/>
                          </a:xfrm>
                          <a:prstGeom prst="rect">
                            <a:avLst/>
                          </a:prstGeom>
                          <a:noFill/>
                          <a:ln>
                            <a:noFill/>
                          </a:ln>
                        </pic:spPr>
                      </pic:pic>
                    </a:graphicData>
                  </a:graphic>
                </wp:inline>
              </w:drawing>
            </w:r>
          </w:p>
        </w:tc>
      </w:tr>
      <w:tr w14:paraId="63714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475" w:type="dxa"/>
          </w:tcPr>
          <w:p w14:paraId="7944936E">
            <w:pPr>
              <w:keepNext w:val="0"/>
              <w:keepLines w:val="0"/>
              <w:pageBreakBefore w:val="0"/>
              <w:widowControl w:val="0"/>
              <w:kinsoku/>
              <w:wordWrap/>
              <w:overflowPunct/>
              <w:topLinePunct w:val="0"/>
              <w:autoSpaceDE/>
              <w:autoSpaceDN/>
              <w:bidi w:val="0"/>
              <w:adjustRightInd/>
              <w:snapToGrid/>
              <w:ind w:left="0" w:leftChars="0" w:firstLine="0" w:firstLineChars="0"/>
              <w:jc w:val="both"/>
              <w:textAlignment w:val="auto"/>
              <w:rPr>
                <w:rFonts w:hint="eastAsia" w:ascii="Times New Roman" w:hAnsi="Times New Roman" w:eastAsia="宋体"/>
                <w:b/>
                <w:bCs/>
                <w:color w:val="auto"/>
                <w:highlight w:val="none"/>
                <w:vertAlign w:val="baseline"/>
                <w:lang w:val="en-US" w:eastAsia="zh-CN"/>
              </w:rPr>
            </w:pPr>
            <w:r>
              <w:rPr>
                <w:rFonts w:hint="eastAsia" w:ascii="宋体-18030" w:hAnsi="宋体-18030" w:eastAsia="宋体-18030" w:cs="宋体-18030"/>
                <w:color w:val="auto"/>
                <w:sz w:val="28"/>
                <w:szCs w:val="36"/>
                <w:highlight w:val="none"/>
              </w:rPr>
              <w:drawing>
                <wp:inline distT="0" distB="0" distL="114300" distR="114300">
                  <wp:extent cx="2698750" cy="1309370"/>
                  <wp:effectExtent l="0" t="0" r="6350" b="5080"/>
                  <wp:docPr id="3" name="图片 4" descr="微信图片_20251209171234_87_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微信图片_20251209171234_87_130"/>
                          <pic:cNvPicPr>
                            <a:picLocks noChangeAspect="1"/>
                          </pic:cNvPicPr>
                        </pic:nvPicPr>
                        <pic:blipFill>
                          <a:blip r:embed="rId7"/>
                          <a:stretch>
                            <a:fillRect/>
                          </a:stretch>
                        </pic:blipFill>
                        <pic:spPr>
                          <a:xfrm>
                            <a:off x="0" y="0"/>
                            <a:ext cx="2698750" cy="1309370"/>
                          </a:xfrm>
                          <a:prstGeom prst="rect">
                            <a:avLst/>
                          </a:prstGeom>
                          <a:noFill/>
                          <a:ln>
                            <a:noFill/>
                          </a:ln>
                        </pic:spPr>
                      </pic:pic>
                    </a:graphicData>
                  </a:graphic>
                </wp:inline>
              </w:drawing>
            </w:r>
          </w:p>
        </w:tc>
        <w:tc>
          <w:tcPr>
            <w:tcW w:w="4047" w:type="dxa"/>
          </w:tcPr>
          <w:p w14:paraId="1B3A57E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imes New Roman" w:hAnsi="Times New Roman" w:eastAsia="宋体"/>
                <w:b/>
                <w:bCs/>
                <w:color w:val="auto"/>
                <w:highlight w:val="none"/>
                <w:vertAlign w:val="baseline"/>
                <w:lang w:val="en-US" w:eastAsia="zh-CN"/>
              </w:rPr>
            </w:pPr>
            <w:r>
              <w:rPr>
                <w:color w:val="auto"/>
                <w:highlight w:val="none"/>
              </w:rPr>
              <w:drawing>
                <wp:inline distT="0" distB="0" distL="114300" distR="114300">
                  <wp:extent cx="2459355" cy="1318260"/>
                  <wp:effectExtent l="0" t="0" r="17145" b="15240"/>
                  <wp:docPr id="2" name="图片 5" descr="微信图片_20251209171237_89_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5" descr="微信图片_20251209171237_89_130"/>
                          <pic:cNvPicPr>
                            <a:picLocks noChangeAspect="1"/>
                          </pic:cNvPicPr>
                        </pic:nvPicPr>
                        <pic:blipFill>
                          <a:blip r:embed="rId8"/>
                          <a:stretch>
                            <a:fillRect/>
                          </a:stretch>
                        </pic:blipFill>
                        <pic:spPr>
                          <a:xfrm>
                            <a:off x="0" y="0"/>
                            <a:ext cx="2459355" cy="1318260"/>
                          </a:xfrm>
                          <a:prstGeom prst="rect">
                            <a:avLst/>
                          </a:prstGeom>
                          <a:noFill/>
                          <a:ln>
                            <a:noFill/>
                          </a:ln>
                        </pic:spPr>
                      </pic:pic>
                    </a:graphicData>
                  </a:graphic>
                </wp:inline>
              </w:drawing>
            </w:r>
          </w:p>
        </w:tc>
      </w:tr>
      <w:tr w14:paraId="7138E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8" w:hRule="atLeast"/>
        </w:trPr>
        <w:tc>
          <w:tcPr>
            <w:tcW w:w="4475" w:type="dxa"/>
          </w:tcPr>
          <w:p w14:paraId="30AE24C1">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imes New Roman" w:hAnsi="Times New Roman" w:eastAsia="宋体"/>
                <w:b/>
                <w:bCs/>
                <w:color w:val="auto"/>
                <w:highlight w:val="none"/>
                <w:vertAlign w:val="baseline"/>
                <w:lang w:val="en-US" w:eastAsia="zh-CN"/>
              </w:rPr>
            </w:pPr>
            <w:r>
              <w:rPr>
                <w:rFonts w:hint="eastAsia" w:ascii="宋体-18030" w:hAnsi="宋体-18030" w:eastAsia="宋体-18030" w:cs="宋体-18030"/>
                <w:color w:val="auto"/>
                <w:sz w:val="28"/>
                <w:szCs w:val="36"/>
                <w:highlight w:val="none"/>
              </w:rPr>
              <w:drawing>
                <wp:inline distT="0" distB="0" distL="114300" distR="114300">
                  <wp:extent cx="2721610" cy="1469390"/>
                  <wp:effectExtent l="0" t="0" r="2540" b="16510"/>
                  <wp:docPr id="4" name="图片 6" descr="微信图片_20251209171227_83_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 descr="微信图片_20251209171227_83_130"/>
                          <pic:cNvPicPr>
                            <a:picLocks noChangeAspect="1"/>
                          </pic:cNvPicPr>
                        </pic:nvPicPr>
                        <pic:blipFill>
                          <a:blip r:embed="rId9"/>
                          <a:stretch>
                            <a:fillRect/>
                          </a:stretch>
                        </pic:blipFill>
                        <pic:spPr>
                          <a:xfrm>
                            <a:off x="0" y="0"/>
                            <a:ext cx="2721610" cy="1469390"/>
                          </a:xfrm>
                          <a:prstGeom prst="rect">
                            <a:avLst/>
                          </a:prstGeom>
                          <a:noFill/>
                          <a:ln>
                            <a:noFill/>
                          </a:ln>
                        </pic:spPr>
                      </pic:pic>
                    </a:graphicData>
                  </a:graphic>
                </wp:inline>
              </w:drawing>
            </w:r>
          </w:p>
        </w:tc>
        <w:tc>
          <w:tcPr>
            <w:tcW w:w="4047" w:type="dxa"/>
          </w:tcPr>
          <w:p w14:paraId="1430668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Times New Roman" w:hAnsi="Times New Roman" w:eastAsia="宋体"/>
                <w:b/>
                <w:bCs/>
                <w:color w:val="auto"/>
                <w:highlight w:val="none"/>
                <w:vertAlign w:val="baseline"/>
                <w:lang w:val="en-US" w:eastAsia="zh-CN"/>
              </w:rPr>
            </w:pPr>
            <w:r>
              <w:rPr>
                <w:rFonts w:hint="eastAsia" w:ascii="宋体-18030" w:hAnsi="宋体-18030" w:eastAsia="宋体" w:cs="宋体-18030"/>
                <w:color w:val="auto"/>
                <w:sz w:val="28"/>
                <w:szCs w:val="36"/>
                <w:highlight w:val="none"/>
              </w:rPr>
              <w:drawing>
                <wp:inline distT="0" distB="0" distL="114300" distR="114300">
                  <wp:extent cx="2445385" cy="1436370"/>
                  <wp:effectExtent l="0" t="0" r="12065" b="11430"/>
                  <wp:docPr id="5" name="图片 7" descr="微信图片_20251209171239_90_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 descr="微信图片_20251209171239_90_130"/>
                          <pic:cNvPicPr>
                            <a:picLocks noChangeAspect="1"/>
                          </pic:cNvPicPr>
                        </pic:nvPicPr>
                        <pic:blipFill>
                          <a:blip r:embed="rId10"/>
                          <a:stretch>
                            <a:fillRect/>
                          </a:stretch>
                        </pic:blipFill>
                        <pic:spPr>
                          <a:xfrm>
                            <a:off x="0" y="0"/>
                            <a:ext cx="2445385" cy="1436370"/>
                          </a:xfrm>
                          <a:prstGeom prst="rect">
                            <a:avLst/>
                          </a:prstGeom>
                          <a:noFill/>
                          <a:ln>
                            <a:noFill/>
                          </a:ln>
                        </pic:spPr>
                      </pic:pic>
                    </a:graphicData>
                  </a:graphic>
                </wp:inline>
              </w:drawing>
            </w:r>
          </w:p>
        </w:tc>
      </w:tr>
    </w:tbl>
    <w:p w14:paraId="00F17FC4">
      <w:pPr>
        <w:shd w:val="clear"/>
        <w:snapToGrid w:val="0"/>
        <w:spacing w:line="360" w:lineRule="auto"/>
        <w:ind w:firstLine="2660" w:firstLineChars="950"/>
        <w:jc w:val="left"/>
        <w:rPr>
          <w:rFonts w:hint="eastAsia" w:ascii="FangSong_GB2312" w:hAnsi="FangSong_GB2312" w:eastAsia="FangSong_GB2312" w:cs="FangSong_GB2312"/>
          <w:b w:val="0"/>
          <w:bCs w:val="0"/>
          <w:color w:val="auto"/>
          <w:sz w:val="28"/>
          <w:szCs w:val="28"/>
          <w:highlight w:val="none"/>
          <w:lang w:val="en-US" w:eastAsia="zh-CN"/>
        </w:rPr>
      </w:pPr>
      <w:r>
        <w:rPr>
          <w:rFonts w:hint="eastAsia" w:ascii="FangSong_GB2312" w:hAnsi="FangSong_GB2312" w:eastAsia="FangSong_GB2312" w:cs="FangSong_GB2312"/>
          <w:b w:val="0"/>
          <w:bCs w:val="0"/>
          <w:color w:val="auto"/>
          <w:sz w:val="28"/>
          <w:szCs w:val="28"/>
          <w:highlight w:val="none"/>
          <w:lang w:val="en-US" w:eastAsia="zh-CN"/>
        </w:rPr>
        <w:t xml:space="preserve"> 项目建筑内部现状图</w:t>
      </w:r>
    </w:p>
    <w:p w14:paraId="32986B0E">
      <w:pPr>
        <w:snapToGrid w:val="0"/>
        <w:spacing w:line="360" w:lineRule="auto"/>
        <w:ind w:firstLine="420" w:firstLineChars="150"/>
        <w:rPr>
          <w:rFonts w:hint="eastAsia" w:ascii="FangSong_GB2312" w:hAnsi="FangSong_GB2312" w:eastAsia="FangSong_GB2312" w:cs="FangSong_GB2312"/>
          <w:color w:val="auto"/>
          <w:sz w:val="28"/>
          <w:szCs w:val="28"/>
          <w:highlight w:val="none"/>
          <w:lang w:val="en-US" w:eastAsia="zh-CN"/>
        </w:rPr>
      </w:pPr>
    </w:p>
    <w:p w14:paraId="4085EC24">
      <w:pPr>
        <w:snapToGrid w:val="0"/>
        <w:spacing w:line="360" w:lineRule="auto"/>
        <w:jc w:val="left"/>
        <w:rPr>
          <w:rFonts w:hint="eastAsia" w:ascii="FangSong_GB2312" w:hAnsi="FangSong_GB2312" w:eastAsia="FangSong_GB2312" w:cs="FangSong_GB2312"/>
          <w:b/>
          <w:color w:val="auto"/>
          <w:sz w:val="28"/>
          <w:szCs w:val="28"/>
          <w:highlight w:val="none"/>
        </w:rPr>
      </w:pPr>
    </w:p>
    <w:p w14:paraId="3383CDDB">
      <w:pPr>
        <w:snapToGrid w:val="0"/>
        <w:spacing w:line="360" w:lineRule="auto"/>
        <w:ind w:firstLine="562" w:firstLineChars="200"/>
        <w:jc w:val="left"/>
        <w:rPr>
          <w:rFonts w:ascii="FangSong_GB2312" w:hAnsi="FangSong_GB2312" w:eastAsia="FangSong_GB2312" w:cs="FangSong_GB2312"/>
          <w:b/>
          <w:color w:val="auto"/>
          <w:sz w:val="32"/>
          <w:szCs w:val="32"/>
          <w:highlight w:val="none"/>
        </w:rPr>
      </w:pPr>
      <w:r>
        <w:rPr>
          <w:rFonts w:hint="eastAsia" w:ascii="FangSong_GB2312" w:hAnsi="FangSong_GB2312" w:eastAsia="FangSong_GB2312" w:cs="FangSong_GB2312"/>
          <w:b/>
          <w:color w:val="auto"/>
          <w:sz w:val="28"/>
          <w:szCs w:val="28"/>
          <w:highlight w:val="none"/>
        </w:rPr>
        <w:t xml:space="preserve"> </w:t>
      </w:r>
      <w:bookmarkStart w:id="0" w:name="_Toc356777878"/>
      <w:bookmarkStart w:id="1" w:name="_Toc356777682"/>
      <w:r>
        <w:rPr>
          <w:rFonts w:hint="eastAsia" w:ascii="FangSong_GB2312" w:hAnsi="FangSong_GB2312" w:eastAsia="FangSong_GB2312" w:cs="FangSong_GB2312"/>
          <w:b/>
          <w:color w:val="auto"/>
          <w:sz w:val="32"/>
          <w:szCs w:val="32"/>
          <w:highlight w:val="none"/>
        </w:rPr>
        <w:t>七、设计文件要求</w:t>
      </w:r>
      <w:bookmarkEnd w:id="0"/>
      <w:bookmarkEnd w:id="1"/>
    </w:p>
    <w:p w14:paraId="6E0FEC73">
      <w:pPr>
        <w:snapToGrid w:val="0"/>
        <w:spacing w:line="360" w:lineRule="auto"/>
        <w:ind w:firstLine="560" w:firstLineChars="200"/>
        <w:jc w:val="left"/>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7.1设计成果应达到建设部颁发的《建筑工程设计文件编制深度规定》。</w:t>
      </w:r>
    </w:p>
    <w:p w14:paraId="51CD4CD1">
      <w:pPr>
        <w:snapToGrid w:val="0"/>
        <w:spacing w:line="360" w:lineRule="auto"/>
        <w:ind w:firstLine="560" w:firstLineChars="200"/>
        <w:jc w:val="left"/>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7.2设计文件应满足广州市、</w:t>
      </w:r>
      <w:r>
        <w:rPr>
          <w:rFonts w:hint="eastAsia" w:ascii="FangSong_GB2312" w:hAnsi="FangSong_GB2312" w:eastAsia="FangSong_GB2312" w:cs="FangSong_GB2312"/>
          <w:color w:val="auto"/>
          <w:sz w:val="28"/>
          <w:szCs w:val="28"/>
          <w:highlight w:val="none"/>
          <w:lang w:val="en-US" w:eastAsia="zh-CN"/>
        </w:rPr>
        <w:t>黄埔</w:t>
      </w:r>
      <w:r>
        <w:rPr>
          <w:rFonts w:hint="eastAsia" w:ascii="FangSong_GB2312" w:hAnsi="FangSong_GB2312" w:eastAsia="FangSong_GB2312" w:cs="FangSong_GB2312"/>
          <w:color w:val="auto"/>
          <w:sz w:val="28"/>
          <w:szCs w:val="28"/>
          <w:highlight w:val="none"/>
        </w:rPr>
        <w:t>区各专业部门的要求，如规划、国土、消防、民防、环保、卫生、交委、交警等部门的报建报审报批要求。在项目报建阶段应满足建设单位报批各种手续的要求，分阶段提供所需的设计文件。</w:t>
      </w:r>
    </w:p>
    <w:p w14:paraId="1CFA0E5E">
      <w:pPr>
        <w:snapToGrid w:val="0"/>
        <w:spacing w:line="360" w:lineRule="auto"/>
        <w:ind w:firstLine="560" w:firstLineChars="200"/>
        <w:jc w:val="left"/>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7.3各专业图纸必须符合国家现行的技术规范及标准要求，达到有关审批和审查部门的报送要求，并满足相关专业的下一阶段的招标工作。施工图深度和质量必须满足其编制规范及要求，并满足预算编制，确保不出现图纸漏项漏量，并具有施工实施的可行性。</w:t>
      </w:r>
    </w:p>
    <w:p w14:paraId="267C3C08">
      <w:pPr>
        <w:snapToGrid w:val="0"/>
        <w:spacing w:line="360" w:lineRule="auto"/>
        <w:ind w:firstLine="560" w:firstLineChars="200"/>
        <w:jc w:val="left"/>
        <w:rPr>
          <w:rFonts w:ascii="FangSong_GB2312" w:hAnsi="FangSong_GB2312" w:eastAsia="FangSong_GB2312" w:cs="FangSong_GB2312"/>
          <w:color w:val="auto"/>
          <w:sz w:val="28"/>
          <w:szCs w:val="28"/>
          <w:highlight w:val="none"/>
        </w:rPr>
      </w:pPr>
      <w:r>
        <w:rPr>
          <w:rFonts w:hint="eastAsia" w:ascii="FangSong_GB2312" w:hAnsi="FangSong_GB2312" w:eastAsia="FangSong_GB2312" w:cs="FangSong_GB2312"/>
          <w:color w:val="auto"/>
          <w:sz w:val="28"/>
          <w:szCs w:val="28"/>
          <w:highlight w:val="none"/>
        </w:rPr>
        <w:t xml:space="preserve">7.4设计成果要求：总平面布置图、总体功能布局、效果图、室内装修图纸及其他相关图纸等。 </w:t>
      </w:r>
    </w:p>
    <w:p w14:paraId="282CDBFA">
      <w:pPr>
        <w:pStyle w:val="4"/>
        <w:snapToGrid w:val="0"/>
        <w:spacing w:line="360" w:lineRule="auto"/>
        <w:ind w:firstLine="700" w:firstLineChars="250"/>
        <w:rPr>
          <w:rFonts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7.5所有技术方案：包括但不限于设计方案、</w:t>
      </w:r>
      <w:r>
        <w:rPr>
          <w:rFonts w:hint="eastAsia" w:ascii="FangSong_GB2312" w:hAnsi="FangSong_GB2312" w:eastAsia="FangSong_GB2312" w:cs="FangSong_GB2312"/>
          <w:color w:val="auto"/>
          <w:sz w:val="28"/>
          <w:szCs w:val="28"/>
          <w:highlight w:val="none"/>
          <w:lang w:val="en-US" w:eastAsia="zh-CN"/>
        </w:rPr>
        <w:t>施工图</w:t>
      </w:r>
      <w:r>
        <w:rPr>
          <w:rFonts w:hint="eastAsia" w:ascii="FangSong_GB2312" w:hAnsi="FangSong_GB2312" w:eastAsia="FangSong_GB2312" w:cs="FangSong_GB2312"/>
          <w:color w:val="auto"/>
          <w:sz w:val="28"/>
          <w:szCs w:val="28"/>
          <w:highlight w:val="none"/>
          <w:lang w:val="en-US"/>
        </w:rPr>
        <w:t>设计、智能化、及其他变更的技术专家论证，全部费用和技术支持由设计单位负责。</w:t>
      </w:r>
    </w:p>
    <w:p w14:paraId="7B88834B">
      <w:pPr>
        <w:pStyle w:val="4"/>
        <w:snapToGrid w:val="0"/>
        <w:spacing w:line="360" w:lineRule="auto"/>
        <w:ind w:firstLine="700" w:firstLineChars="250"/>
        <w:rPr>
          <w:rFonts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7.</w:t>
      </w:r>
      <w:r>
        <w:rPr>
          <w:rFonts w:hint="eastAsia" w:ascii="FangSong_GB2312" w:hAnsi="FangSong_GB2312" w:eastAsia="FangSong_GB2312" w:cs="FangSong_GB2312"/>
          <w:color w:val="auto"/>
          <w:sz w:val="28"/>
          <w:szCs w:val="28"/>
          <w:highlight w:val="none"/>
          <w:lang w:val="en-US" w:eastAsia="zh-CN"/>
        </w:rPr>
        <w:t>6</w:t>
      </w:r>
      <w:r>
        <w:rPr>
          <w:rFonts w:hint="eastAsia" w:ascii="FangSong_GB2312" w:hAnsi="FangSong_GB2312" w:eastAsia="FangSong_GB2312" w:cs="FangSong_GB2312"/>
          <w:color w:val="auto"/>
          <w:sz w:val="28"/>
          <w:szCs w:val="28"/>
          <w:highlight w:val="none"/>
          <w:lang w:val="en-US"/>
        </w:rPr>
        <w:t xml:space="preserve"> 施工图设计涉及专业设计不得标示后期由施工单位深化设计，确有必要的须经建设单位和建设管理单位同意。</w:t>
      </w:r>
    </w:p>
    <w:p w14:paraId="04D8CF2E">
      <w:pPr>
        <w:pStyle w:val="4"/>
        <w:snapToGrid w:val="0"/>
        <w:spacing w:line="360" w:lineRule="auto"/>
        <w:ind w:firstLine="700" w:firstLineChars="250"/>
        <w:rPr>
          <w:rFonts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7.</w:t>
      </w:r>
      <w:r>
        <w:rPr>
          <w:rFonts w:hint="eastAsia" w:ascii="FangSong_GB2312" w:hAnsi="FangSong_GB2312" w:eastAsia="FangSong_GB2312" w:cs="FangSong_GB2312"/>
          <w:color w:val="auto"/>
          <w:sz w:val="28"/>
          <w:szCs w:val="28"/>
          <w:highlight w:val="none"/>
          <w:lang w:val="en-US" w:eastAsia="zh-CN"/>
        </w:rPr>
        <w:t>7</w:t>
      </w:r>
      <w:r>
        <w:rPr>
          <w:rFonts w:hint="eastAsia" w:ascii="FangSong_GB2312" w:hAnsi="FangSong_GB2312" w:eastAsia="FangSong_GB2312" w:cs="FangSong_GB2312"/>
          <w:color w:val="auto"/>
          <w:sz w:val="28"/>
          <w:szCs w:val="28"/>
          <w:highlight w:val="none"/>
          <w:lang w:val="en-US"/>
        </w:rPr>
        <w:t>设计单位须根据项目建设单位节点要求以及工程建设进展，按照设计管理人员要求提交项目整体出图计划、月度以及周出图计划，不符合出图计划和出图质量问题（含涉及错漏、设计问题不足产生的重大设计变更等）的按照签订合同进行考核。</w:t>
      </w:r>
    </w:p>
    <w:p w14:paraId="57A6A9CB">
      <w:pPr>
        <w:pStyle w:val="4"/>
        <w:snapToGrid w:val="0"/>
        <w:spacing w:line="360" w:lineRule="auto"/>
        <w:ind w:firstLine="700" w:firstLineChars="250"/>
        <w:rPr>
          <w:rFonts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7.</w:t>
      </w:r>
      <w:r>
        <w:rPr>
          <w:rFonts w:hint="eastAsia" w:ascii="FangSong_GB2312" w:hAnsi="FangSong_GB2312" w:eastAsia="FangSong_GB2312" w:cs="FangSong_GB2312"/>
          <w:color w:val="auto"/>
          <w:sz w:val="28"/>
          <w:szCs w:val="28"/>
          <w:highlight w:val="none"/>
          <w:lang w:val="en-US" w:eastAsia="zh-CN"/>
        </w:rPr>
        <w:t>8</w:t>
      </w:r>
      <w:r>
        <w:rPr>
          <w:rFonts w:hint="eastAsia" w:ascii="FangSong_GB2312" w:hAnsi="FangSong_GB2312" w:eastAsia="FangSong_GB2312" w:cs="FangSong_GB2312"/>
          <w:color w:val="auto"/>
          <w:sz w:val="28"/>
          <w:szCs w:val="28"/>
          <w:highlight w:val="none"/>
          <w:lang w:val="en-US"/>
        </w:rPr>
        <w:t>承担设计问题产生的设计变更、重点设计方案论证以及设计成本质量评估相关会议费用。</w:t>
      </w:r>
    </w:p>
    <w:p w14:paraId="1BEA7E3E">
      <w:pPr>
        <w:pStyle w:val="4"/>
        <w:snapToGrid w:val="0"/>
        <w:spacing w:line="360" w:lineRule="auto"/>
        <w:ind w:firstLine="700" w:firstLineChars="250"/>
        <w:rPr>
          <w:rFonts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7.</w:t>
      </w:r>
      <w:r>
        <w:rPr>
          <w:rFonts w:hint="eastAsia" w:ascii="FangSong_GB2312" w:hAnsi="FangSong_GB2312" w:eastAsia="FangSong_GB2312" w:cs="FangSong_GB2312"/>
          <w:color w:val="auto"/>
          <w:sz w:val="28"/>
          <w:szCs w:val="28"/>
          <w:highlight w:val="none"/>
          <w:lang w:val="en-US" w:eastAsia="zh-CN"/>
        </w:rPr>
        <w:t>9</w:t>
      </w:r>
      <w:r>
        <w:rPr>
          <w:rFonts w:hint="eastAsia" w:ascii="FangSong_GB2312" w:hAnsi="FangSong_GB2312" w:eastAsia="FangSong_GB2312" w:cs="FangSong_GB2312"/>
          <w:color w:val="auto"/>
          <w:sz w:val="28"/>
          <w:szCs w:val="28"/>
          <w:highlight w:val="none"/>
          <w:lang w:val="en-US"/>
        </w:rPr>
        <w:t>设计文件需满足相关主管部门和相关单位的概算审核要求。</w:t>
      </w:r>
    </w:p>
    <w:p w14:paraId="3CC5CE74">
      <w:pPr>
        <w:pStyle w:val="4"/>
        <w:snapToGrid w:val="0"/>
        <w:spacing w:line="360" w:lineRule="auto"/>
        <w:ind w:firstLine="700" w:firstLineChars="250"/>
        <w:rPr>
          <w:rFonts w:ascii="FangSong_GB2312" w:hAnsi="FangSong_GB2312" w:eastAsia="FangSong_GB2312" w:cs="FangSong_GB2312"/>
          <w:color w:val="auto"/>
          <w:sz w:val="28"/>
          <w:szCs w:val="28"/>
          <w:highlight w:val="none"/>
          <w:lang w:val="en-US"/>
        </w:rPr>
      </w:pPr>
      <w:r>
        <w:rPr>
          <w:rFonts w:hint="eastAsia" w:ascii="FangSong_GB2312" w:hAnsi="FangSong_GB2312" w:eastAsia="FangSong_GB2312" w:cs="FangSong_GB2312"/>
          <w:color w:val="auto"/>
          <w:sz w:val="28"/>
          <w:szCs w:val="28"/>
          <w:highlight w:val="none"/>
          <w:lang w:val="en-US"/>
        </w:rPr>
        <w:t>7.</w:t>
      </w:r>
      <w:r>
        <w:rPr>
          <w:rFonts w:hint="eastAsia" w:ascii="FangSong_GB2312" w:hAnsi="FangSong_GB2312" w:eastAsia="FangSong_GB2312" w:cs="FangSong_GB2312"/>
          <w:color w:val="auto"/>
          <w:sz w:val="28"/>
          <w:szCs w:val="28"/>
          <w:highlight w:val="none"/>
          <w:lang w:val="en-US" w:eastAsia="zh-CN"/>
        </w:rPr>
        <w:t>10</w:t>
      </w:r>
      <w:r>
        <w:rPr>
          <w:rFonts w:hint="eastAsia" w:ascii="FangSong_GB2312" w:hAnsi="FangSong_GB2312" w:eastAsia="FangSong_GB2312" w:cs="FangSong_GB2312"/>
          <w:color w:val="auto"/>
          <w:sz w:val="28"/>
          <w:szCs w:val="28"/>
          <w:highlight w:val="none"/>
          <w:lang w:val="en-US"/>
        </w:rPr>
        <w:t>设计文件含盖</w:t>
      </w:r>
      <w:r>
        <w:rPr>
          <w:rFonts w:hint="eastAsia" w:ascii="FangSong_GB2312" w:hAnsi="FangSong_GB2312" w:eastAsia="FangSong_GB2312" w:cs="FangSong_GB2312"/>
          <w:color w:val="auto"/>
          <w:sz w:val="28"/>
          <w:szCs w:val="28"/>
          <w:highlight w:val="none"/>
          <w:lang w:val="en-US" w:eastAsia="zh-CN"/>
        </w:rPr>
        <w:t>方案</w:t>
      </w:r>
      <w:r>
        <w:rPr>
          <w:rFonts w:hint="eastAsia" w:ascii="FangSong_GB2312" w:hAnsi="FangSong_GB2312" w:eastAsia="FangSong_GB2312" w:cs="FangSong_GB2312"/>
          <w:color w:val="auto"/>
          <w:sz w:val="28"/>
          <w:szCs w:val="28"/>
          <w:highlight w:val="none"/>
          <w:lang w:val="en-US"/>
        </w:rPr>
        <w:t>设计、施工图审查章蓝图16份，CAD和PDF电子版文件光盘一个。满足广州市工程建设项目联合审批平台——联合审图备案条件。以及报审各部门所需要的图纸份数。</w:t>
      </w:r>
    </w:p>
    <w:p w14:paraId="3BEA7F9E">
      <w:pPr>
        <w:tabs>
          <w:tab w:val="left" w:pos="764"/>
        </w:tabs>
        <w:rPr>
          <w:rFonts w:ascii="仿宋" w:hAnsi="仿宋" w:eastAsia="仿宋" w:cs="仿宋"/>
          <w:color w:val="auto"/>
          <w:sz w:val="32"/>
          <w:szCs w:val="32"/>
          <w:highlight w:val="none"/>
        </w:rPr>
      </w:pPr>
    </w:p>
    <w:p w14:paraId="504318BB">
      <w:pPr>
        <w:pStyle w:val="4"/>
        <w:rPr>
          <w:rFonts w:ascii="仿宋" w:hAnsi="仿宋" w:eastAsia="仿宋" w:cs="仿宋"/>
          <w:color w:val="auto"/>
          <w:sz w:val="32"/>
          <w:szCs w:val="32"/>
          <w:highlight w:val="none"/>
        </w:rPr>
      </w:pPr>
    </w:p>
    <w:p w14:paraId="3D875975">
      <w:pPr>
        <w:tabs>
          <w:tab w:val="left" w:pos="203"/>
        </w:tabs>
        <w:spacing w:line="360" w:lineRule="auto"/>
        <w:jc w:val="left"/>
        <w:outlineLvl w:val="0"/>
        <w:rPr>
          <w:rFonts w:hint="eastAsia" w:ascii="宋体" w:hAnsi="宋体" w:eastAsia="FangSong_GB2312" w:cs="宋体"/>
          <w:b/>
          <w:color w:val="auto"/>
          <w:sz w:val="36"/>
          <w:szCs w:val="36"/>
          <w:highlight w:val="none"/>
          <w:lang w:eastAsia="zh-CN"/>
        </w:rPr>
      </w:pPr>
    </w:p>
    <w:p w14:paraId="1FDD90E8">
      <w:pPr>
        <w:tabs>
          <w:tab w:val="left" w:pos="1103"/>
        </w:tabs>
        <w:jc w:val="left"/>
        <w:rPr>
          <w:rFonts w:ascii="Calibri" w:hAnsi="Calibri"/>
          <w:kern w:val="2"/>
          <w:sz w:val="21"/>
          <w:szCs w:val="24"/>
          <w:lang w:val="en-US" w:eastAsia="zh-CN" w:bidi="ar-SA"/>
        </w:rPr>
      </w:pPr>
    </w:p>
    <w:p w14:paraId="31EBC2D2"/>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FangSong_GB2312">
    <w:altName w:val="仿宋"/>
    <w:panose1 w:val="02010609030101010101"/>
    <w:charset w:val="86"/>
    <w:family w:val="modern"/>
    <w:pitch w:val="default"/>
    <w:sig w:usb0="00000000" w:usb1="00000000" w:usb2="00000010"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宋体-18030">
    <w:altName w:val="微软雅黑"/>
    <w:panose1 w:val="02010609060101010101"/>
    <w:charset w:val="86"/>
    <w:family w:val="auto"/>
    <w:pitch w:val="default"/>
    <w:sig w:usb0="00000000" w:usb1="00000000" w:usb2="0000000E" w:usb3="00000000" w:csb0="003C0041" w:csb1="A0080000"/>
  </w:font>
  <w:font w:name="微软雅黑">
    <w:panose1 w:val="020B0503020204020204"/>
    <w:charset w:val="86"/>
    <w:family w:val="auto"/>
    <w:pitch w:val="default"/>
    <w:sig w:usb0="80000287" w:usb1="2ACF3C50" w:usb2="00000016" w:usb3="00000000" w:csb0="0004001F" w:csb1="00000000"/>
  </w:font>
  <w:font w:name="KSOF8BCA4F43">
    <w:panose1 w:val="02010609060101010101"/>
    <w:charset w:val="86"/>
    <w:family w:val="auto"/>
    <w:pitch w:val="default"/>
    <w:sig w:usb0="00000001" w:usb1="00000000" w:usb2="00000000" w:usb3="00000000" w:csb0="00040001" w:csb1="00000000"/>
  </w:font>
  <w:font w:name="KSOF8BCAC3A2">
    <w:panose1 w:val="020106090601010101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EE7BE5"/>
    <w:multiLevelType w:val="singleLevel"/>
    <w:tmpl w:val="93EE7BE5"/>
    <w:lvl w:ilvl="0" w:tentative="0">
      <w:start w:val="1"/>
      <w:numFmt w:val="chineseCounting"/>
      <w:suff w:val="nothing"/>
      <w:lvlText w:val="%1、"/>
      <w:lvlJc w:val="left"/>
      <w:rPr>
        <w:rFonts w:hint="eastAsia"/>
      </w:rPr>
    </w:lvl>
  </w:abstractNum>
  <w:abstractNum w:abstractNumId="1">
    <w:nsid w:val="9EF0FBFA"/>
    <w:multiLevelType w:val="singleLevel"/>
    <w:tmpl w:val="9EF0FBFA"/>
    <w:lvl w:ilvl="0" w:tentative="0">
      <w:start w:val="1"/>
      <w:numFmt w:val="decimal"/>
      <w:lvlText w:val="%1."/>
      <w:lvlJc w:val="left"/>
      <w:pPr>
        <w:ind w:left="425" w:hanging="425"/>
      </w:pPr>
      <w:rPr>
        <w:rFonts w:hint="default"/>
      </w:rPr>
    </w:lvl>
  </w:abstractNum>
  <w:abstractNum w:abstractNumId="2">
    <w:nsid w:val="ECF603CE"/>
    <w:multiLevelType w:val="singleLevel"/>
    <w:tmpl w:val="ECF603CE"/>
    <w:lvl w:ilvl="0" w:tentative="0">
      <w:start w:val="2"/>
      <w:numFmt w:val="chineseCounting"/>
      <w:suff w:val="space"/>
      <w:lvlText w:val="第%1章"/>
      <w:lvlJc w:val="left"/>
      <w:rPr>
        <w:rFonts w:hint="eastAsia"/>
      </w:rPr>
    </w:lvl>
  </w:abstractNum>
  <w:abstractNum w:abstractNumId="3">
    <w:nsid w:val="F3C85C3B"/>
    <w:multiLevelType w:val="multilevel"/>
    <w:tmpl w:val="F3C85C3B"/>
    <w:lvl w:ilvl="0" w:tentative="0">
      <w:start w:val="1"/>
      <w:numFmt w:val="chineseCountingThousand"/>
      <w:pStyle w:val="2"/>
      <w:lvlText w:val="第%1章"/>
      <w:lvlJc w:val="left"/>
      <w:pPr>
        <w:ind w:left="432" w:hanging="432"/>
      </w:pPr>
      <w:rPr>
        <w:rFonts w:hint="eastAsia"/>
      </w:rPr>
    </w:lvl>
    <w:lvl w:ilvl="1" w:tentative="0">
      <w:start w:val="1"/>
      <w:numFmt w:val="decimal"/>
      <w:lvlRestart w:val="0"/>
      <w:isLgl/>
      <w:lvlText w:val="%1.%2"/>
      <w:lvlJc w:val="left"/>
      <w:pPr>
        <w:ind w:left="576" w:hanging="576"/>
      </w:pPr>
      <w:rPr>
        <w:rFonts w:hint="eastAsia"/>
      </w:rPr>
    </w:lvl>
    <w:lvl w:ilvl="2" w:tentative="0">
      <w:start w:val="1"/>
      <w:numFmt w:val="decimal"/>
      <w:pStyle w:val="3"/>
      <w:isLgl/>
      <w:lvlText w:val="%1.%2.%3"/>
      <w:lvlJc w:val="left"/>
      <w:pPr>
        <w:ind w:left="720" w:hanging="720"/>
      </w:pPr>
      <w:rPr>
        <w:rFonts w:hint="eastAsia"/>
      </w:rPr>
    </w:lvl>
    <w:lvl w:ilvl="3" w:tentative="0">
      <w:start w:val="1"/>
      <w:numFmt w:val="decimal"/>
      <w:lvlText w:val="%1.%2.%3.%4"/>
      <w:lvlJc w:val="left"/>
      <w:pPr>
        <w:ind w:left="864" w:hanging="864"/>
      </w:pPr>
      <w:rPr>
        <w:rFonts w:hint="eastAsia"/>
      </w:rPr>
    </w:lvl>
    <w:lvl w:ilvl="4" w:tentative="0">
      <w:start w:val="1"/>
      <w:numFmt w:val="decimal"/>
      <w:lvlText w:val="%1.%2.%3.%4.%5"/>
      <w:lvlJc w:val="left"/>
      <w:pPr>
        <w:ind w:left="1008" w:hanging="1008"/>
      </w:pPr>
      <w:rPr>
        <w:rFonts w:hint="eastAsia"/>
      </w:rPr>
    </w:lvl>
    <w:lvl w:ilvl="5" w:tentative="0">
      <w:start w:val="1"/>
      <w:numFmt w:val="decimal"/>
      <w:lvlText w:val="%1.%2.%3.%4.%5.%6"/>
      <w:lvlJc w:val="left"/>
      <w:pPr>
        <w:ind w:left="1152" w:hanging="1152"/>
      </w:pPr>
      <w:rPr>
        <w:rFonts w:hint="eastAsia"/>
      </w:rPr>
    </w:lvl>
    <w:lvl w:ilvl="6" w:tentative="0">
      <w:start w:val="1"/>
      <w:numFmt w:val="decimal"/>
      <w:lvlText w:val="%1.%2.%3.%4.%5.%6.%7"/>
      <w:lvlJc w:val="left"/>
      <w:pPr>
        <w:ind w:left="1296" w:hanging="1296"/>
      </w:pPr>
      <w:rPr>
        <w:rFonts w:hint="eastAsia"/>
      </w:rPr>
    </w:lvl>
    <w:lvl w:ilvl="7" w:tentative="0">
      <w:start w:val="1"/>
      <w:numFmt w:val="decimal"/>
      <w:lvlText w:val="%1.%2.%3.%4.%5.%6.%7.%8"/>
      <w:lvlJc w:val="left"/>
      <w:pPr>
        <w:ind w:left="1440" w:hanging="1440"/>
      </w:pPr>
      <w:rPr>
        <w:rFonts w:hint="eastAsia"/>
      </w:rPr>
    </w:lvl>
    <w:lvl w:ilvl="8" w:tentative="0">
      <w:start w:val="1"/>
      <w:numFmt w:val="decimal"/>
      <w:lvlText w:val="%1.%2.%3.%4.%5.%6.%7.%8.%9"/>
      <w:lvlJc w:val="left"/>
      <w:pPr>
        <w:ind w:left="1584" w:hanging="1584"/>
      </w:pPr>
      <w:rPr>
        <w:rFonts w:hint="eastAsia"/>
      </w:rPr>
    </w:lvl>
  </w:abstractNum>
  <w:abstractNum w:abstractNumId="4">
    <w:nsid w:val="500D7B8C"/>
    <w:multiLevelType w:val="singleLevel"/>
    <w:tmpl w:val="500D7B8C"/>
    <w:lvl w:ilvl="0" w:tentative="0">
      <w:start w:val="3"/>
      <w:numFmt w:val="decimal"/>
      <w:lvlText w:val="%1."/>
      <w:lvlJc w:val="left"/>
      <w:pPr>
        <w:tabs>
          <w:tab w:val="left" w:pos="312"/>
        </w:tabs>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E768B2"/>
    <w:rsid w:val="20B764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widowControl w:val="0"/>
      <w:numPr>
        <w:ilvl w:val="0"/>
        <w:numId w:val="1"/>
      </w:numPr>
      <w:spacing w:before="340" w:after="330" w:line="578" w:lineRule="auto"/>
      <w:ind w:left="0" w:firstLine="0"/>
      <w:jc w:val="center"/>
      <w:outlineLvl w:val="0"/>
    </w:pPr>
    <w:rPr>
      <w:rFonts w:eastAsia="仿宋"/>
      <w:b/>
      <w:bCs/>
      <w:kern w:val="44"/>
      <w:sz w:val="36"/>
      <w:szCs w:val="44"/>
      <w:lang w:val="en-US" w:eastAsia="zh-CN" w:bidi="ar-SA"/>
    </w:rPr>
  </w:style>
  <w:style w:type="paragraph" w:styleId="3">
    <w:name w:val="heading 3"/>
    <w:basedOn w:val="1"/>
    <w:next w:val="1"/>
    <w:qFormat/>
    <w:uiPriority w:val="0"/>
    <w:pPr>
      <w:keepNext/>
      <w:keepLines/>
      <w:widowControl w:val="0"/>
      <w:numPr>
        <w:ilvl w:val="2"/>
        <w:numId w:val="1"/>
      </w:numPr>
      <w:spacing w:line="288" w:lineRule="auto"/>
      <w:outlineLvl w:val="2"/>
    </w:pPr>
    <w:rPr>
      <w:rFonts w:eastAsia="黑体"/>
      <w:bCs/>
      <w:sz w:val="28"/>
      <w:szCs w:val="3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宋体" w:cs="Courier New"/>
      <w:sz w:val="20"/>
      <w:szCs w:val="20"/>
      <w:lang w:val="zh-CN"/>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paragraph" w:customStyle="1" w:styleId="8">
    <w:name w:val="正文-修改"/>
    <w:basedOn w:val="1"/>
    <w:qFormat/>
    <w:uiPriority w:val="0"/>
    <w:pPr>
      <w:spacing w:line="360" w:lineRule="auto"/>
      <w:ind w:firstLine="480" w:firstLineChars="200"/>
    </w:pPr>
    <w:rPr>
      <w:rFonts w:eastAsia="FangSong_GB2312"/>
    </w:rPr>
  </w:style>
  <w:style w:type="paragraph" w:customStyle="1" w:styleId="9">
    <w:name w:val="_Style 6"/>
    <w:basedOn w:val="1"/>
    <w:next w:val="10"/>
    <w:qFormat/>
    <w:uiPriority w:val="34"/>
    <w:pPr>
      <w:adjustRightInd w:val="0"/>
      <w:snapToGrid w:val="0"/>
      <w:spacing w:line="312" w:lineRule="auto"/>
      <w:ind w:firstLine="420" w:firstLineChars="200"/>
    </w:pPr>
    <w:rPr>
      <w:sz w:val="20"/>
      <w:szCs w:val="20"/>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6214</Words>
  <Characters>6974</Characters>
  <Lines>0</Lines>
  <Paragraphs>0</Paragraphs>
  <TotalTime>4</TotalTime>
  <ScaleCrop>false</ScaleCrop>
  <LinksUpToDate>false</LinksUpToDate>
  <CharactersWithSpaces>7000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2026-05-07T08:04:00Z</dcterms:created>
  <dc:creator>wmy</dc:creator>
  <cp:lastModifiedBy>董江波</cp:lastModifiedBy>
  <dcterms:modified xsi:type="dcterms:W3CDTF">2026-05-07T08:45:04Z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eyJoZGlkIjoiNWVlOGVlMjJlNGU2YWFhNWRlMGIzZTlkZjU0MDExZGUiLCJ1c2VySWQiOiIyNzYzNDM5MzIifQ==</vt:lpwstr>
  </property>
  <property fmtid="{D5CDD505-2E9C-101B-9397-08002B2CF9AE}" pid="4" name="ICV">
    <vt:lpwstr>448A9E64155842039159FBFA1BE00444_13</vt:lpwstr>
  </property>
</Properties>
</file>