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22"/>
        <w:rPr>
          <w:rFonts w:ascii="仿宋_GB2312" w:hAnsi="仿宋_GB2312" w:eastAsia="仿宋_GB2312" w:cs="仿宋_GB2312"/>
          <w:sz w:val="32"/>
          <w:szCs w:val="32"/>
        </w:rPr>
      </w:pPr>
      <w:r>
        <w:rPr>
          <w:rFonts w:hint="eastAsia" w:ascii="仿宋_GB2312" w:hAnsi="仿宋_GB2312" w:eastAsia="仿宋_GB2312" w:cs="仿宋_GB2312"/>
          <w:b/>
          <w:sz w:val="32"/>
          <w:szCs w:val="32"/>
        </w:rPr>
        <w:t>一、项目概况</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(一)为广东实验中学（采购人，下同）提供</w:t>
      </w:r>
      <w:r>
        <w:rPr>
          <w:rFonts w:hint="eastAsia" w:ascii="仿宋_GB2312" w:hAnsi="仿宋_GB2312" w:eastAsia="仿宋_GB2312" w:cs="仿宋_GB2312"/>
          <w:sz w:val="32"/>
          <w:szCs w:val="32"/>
          <w:lang w:eastAsia="zh-CN"/>
        </w:rPr>
        <w:t>白云校区</w:t>
      </w:r>
      <w:r>
        <w:rPr>
          <w:rFonts w:hint="eastAsia" w:ascii="仿宋_GB2312" w:hAnsi="仿宋_GB2312" w:eastAsia="仿宋_GB2312" w:cs="仿宋_GB2312"/>
          <w:sz w:val="32"/>
          <w:szCs w:val="32"/>
        </w:rPr>
        <w:t>学生饭堂提供符合国家食品安全要求的膳食制作和服务。</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(二)学校性质为：广东省教育厅直属的公办学校（</w:t>
      </w:r>
      <w:r>
        <w:rPr>
          <w:rFonts w:hint="eastAsia" w:ascii="仿宋_GB2312" w:hAnsi="仿宋_GB2312" w:eastAsia="仿宋_GB2312" w:cs="仿宋_GB2312"/>
          <w:sz w:val="32"/>
          <w:szCs w:val="32"/>
          <w:lang w:val="en-US" w:eastAsia="zh-CN"/>
        </w:rPr>
        <w:t>完全</w:t>
      </w:r>
      <w:r>
        <w:rPr>
          <w:rFonts w:hint="eastAsia" w:ascii="仿宋_GB2312" w:hAnsi="仿宋_GB2312" w:eastAsia="仿宋_GB2312" w:cs="仿宋_GB2312"/>
          <w:sz w:val="32"/>
          <w:szCs w:val="32"/>
        </w:rPr>
        <w:t>中学）。</w:t>
      </w:r>
    </w:p>
    <w:p>
      <w:pPr>
        <w:ind w:firstLine="316"/>
        <w:rPr>
          <w:rFonts w:ascii="仿宋_GB2312" w:hAnsi="仿宋_GB2312" w:eastAsia="仿宋_GB2312" w:cs="仿宋_GB2312"/>
          <w:sz w:val="32"/>
          <w:szCs w:val="32"/>
        </w:rPr>
      </w:pPr>
      <w:r>
        <w:rPr>
          <w:rFonts w:hint="eastAsia" w:ascii="仿宋_GB2312" w:hAnsi="仿宋_GB2312" w:eastAsia="仿宋_GB2312" w:cs="仿宋_GB2312"/>
          <w:sz w:val="32"/>
          <w:szCs w:val="32"/>
        </w:rPr>
        <w:t>（三）项目基本情况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广东实验中学白云校区位于永平街道凤凰山脚，食堂提供早、中、晚餐、夜宵。本次招标对象为成熟度高、具有严谨管理体系的餐饮管理公司，按约定就餐标准为甲方</w:t>
      </w:r>
      <w:r>
        <w:rPr>
          <w:rFonts w:hint="eastAsia" w:ascii="仿宋_GB2312" w:hAnsi="仿宋_GB2312" w:eastAsia="仿宋_GB2312" w:cs="仿宋_GB2312"/>
          <w:sz w:val="32"/>
          <w:szCs w:val="32"/>
          <w:lang w:eastAsia="zh-CN"/>
        </w:rPr>
        <w:t>白云校区</w:t>
      </w:r>
      <w:r>
        <w:rPr>
          <w:rFonts w:hint="eastAsia" w:ascii="仿宋_GB2312" w:hAnsi="仿宋_GB2312" w:eastAsia="仿宋_GB2312" w:cs="仿宋_GB2312"/>
          <w:sz w:val="32"/>
          <w:szCs w:val="32"/>
        </w:rPr>
        <w:t>学生饭堂提供符合国家食品安全要求的膳食制作和服务。</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本项目服务期为 1+1+1年。自合同签订之日起一年，首次合同期满前2个月，在中标人提出顺延申请情况下，采购人进行综合评估、考核，经考核合格，报学校党委会同意后，则本合同按照采购人规定的时间续签1年。续签的两年合同期期满前2个月，在中标人提出顺延申请情况下，采购人进行综合评估、考核，经考核合格，报学校党委会同意后，则本合同按照采购人规定的时间再次续签1年。若中标人在有效服务期满前2个月不提出顺延申请或考核不合格，则有效服务期期满之日起合同自动终止，采购人有权重新组织该服务项目的采购工作。</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（四）就餐人员情况：预计就餐人数约3500人。</w:t>
      </w:r>
    </w:p>
    <w:p>
      <w:pPr>
        <w:ind w:firstLine="42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（风险提示：每年可能会根据政策的变化，班级人数可能会有变化，一经投标即视为接受此风险）。</w:t>
      </w:r>
    </w:p>
    <w:p>
      <w:pPr>
        <w:ind w:firstLine="422"/>
        <w:rPr>
          <w:rFonts w:ascii="仿宋_GB2312" w:hAnsi="仿宋_GB2312" w:eastAsia="仿宋_GB2312" w:cs="仿宋_GB2312"/>
          <w:sz w:val="32"/>
          <w:szCs w:val="32"/>
        </w:rPr>
      </w:pPr>
      <w:r>
        <w:rPr>
          <w:rFonts w:hint="eastAsia" w:ascii="仿宋_GB2312" w:hAnsi="仿宋_GB2312" w:eastAsia="仿宋_GB2312" w:cs="仿宋_GB2312"/>
          <w:b/>
          <w:sz w:val="32"/>
          <w:szCs w:val="32"/>
        </w:rPr>
        <w:t>二、人员要求（暂定）</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(一)人员数量及岗位要求:投标人为本项目规定范围的服务所选派的工作人员均应在中标后配足配齐岗位人员。合同期内，服务人员需不得少于94人，</w:t>
      </w:r>
      <w:r>
        <w:rPr>
          <w:rFonts w:hint="eastAsia" w:ascii="仿宋_GB2312" w:hAnsi="仿宋_GB2312" w:eastAsia="仿宋_GB2312" w:cs="仿宋_GB2312"/>
          <w:bCs/>
          <w:kern w:val="0"/>
          <w:sz w:val="32"/>
          <w:szCs w:val="32"/>
        </w:rPr>
        <w:t>投标人可根据实际工作需要增配人员，包括春节、劳动节、国庆节和中秋节等节假日必须保证足够人员在岗</w:t>
      </w:r>
      <w:r>
        <w:rPr>
          <w:rFonts w:hint="eastAsia" w:ascii="仿宋_GB2312" w:hAnsi="仿宋_GB2312" w:eastAsia="仿宋_GB2312" w:cs="仿宋_GB2312"/>
          <w:sz w:val="32"/>
          <w:szCs w:val="32"/>
        </w:rPr>
        <w:t>。投标时提供承诺函。</w:t>
      </w:r>
    </w:p>
    <w:p>
      <w:pPr>
        <w:ind w:firstLine="409"/>
        <w:rPr>
          <w:rFonts w:ascii="仿宋_GB2312" w:hAnsi="仿宋_GB2312" w:eastAsia="仿宋_GB2312" w:cs="仿宋_GB2312"/>
          <w:sz w:val="32"/>
          <w:szCs w:val="32"/>
        </w:rPr>
      </w:pPr>
      <w:r>
        <w:rPr>
          <w:rFonts w:hint="eastAsia" w:ascii="仿宋_GB2312" w:hAnsi="仿宋_GB2312" w:eastAsia="仿宋_GB2312" w:cs="仿宋_GB2312"/>
          <w:sz w:val="32"/>
          <w:szCs w:val="32"/>
        </w:rPr>
        <w:t>1、基本人员需求如下：</w:t>
      </w:r>
    </w:p>
    <w:tbl>
      <w:tblPr>
        <w:tblStyle w:val="9"/>
        <w:tblW w:w="85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1"/>
        <w:gridCol w:w="2931"/>
        <w:gridCol w:w="3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 w:hRule="atLeast"/>
          <w:jc w:val="center"/>
        </w:trPr>
        <w:tc>
          <w:tcPr>
            <w:tcW w:w="185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2931"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职位</w:t>
            </w:r>
          </w:p>
        </w:tc>
        <w:tc>
          <w:tcPr>
            <w:tcW w:w="3738"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人数（名）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 w:hRule="atLeast"/>
          <w:jc w:val="center"/>
        </w:trPr>
        <w:tc>
          <w:tcPr>
            <w:tcW w:w="185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p>
        </w:tc>
        <w:tc>
          <w:tcPr>
            <w:tcW w:w="2931" w:type="dxa"/>
            <w:tcBorders>
              <w:top w:val="single" w:color="auto" w:sz="4" w:space="0"/>
              <w:left w:val="nil"/>
              <w:bottom w:val="single" w:color="auto" w:sz="4" w:space="0"/>
              <w:right w:val="single" w:color="auto" w:sz="4" w:space="0"/>
            </w:tcBorders>
            <w:vAlign w:val="center"/>
          </w:tcPr>
          <w:p>
            <w:pPr>
              <w:ind w:firstLine="320" w:firstLineChars="100"/>
              <w:jc w:val="both"/>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食品安全总监</w:t>
            </w:r>
          </w:p>
        </w:tc>
        <w:tc>
          <w:tcPr>
            <w:tcW w:w="3738" w:type="dxa"/>
            <w:tcBorders>
              <w:top w:val="single" w:color="auto" w:sz="4" w:space="0"/>
              <w:left w:val="nil"/>
              <w:bottom w:val="single" w:color="auto" w:sz="4" w:space="0"/>
              <w:right w:val="single" w:color="auto" w:sz="4" w:space="0"/>
            </w:tcBorders>
            <w:vAlign w:val="center"/>
          </w:tcPr>
          <w:p>
            <w:pPr>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 w:hRule="atLeast"/>
          <w:jc w:val="center"/>
        </w:trPr>
        <w:tc>
          <w:tcPr>
            <w:tcW w:w="185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p>
        </w:tc>
        <w:tc>
          <w:tcPr>
            <w:tcW w:w="2931"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经理</w:t>
            </w:r>
          </w:p>
        </w:tc>
        <w:tc>
          <w:tcPr>
            <w:tcW w:w="3738"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 w:hRule="atLeast"/>
          <w:jc w:val="center"/>
        </w:trPr>
        <w:tc>
          <w:tcPr>
            <w:tcW w:w="185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p>
        </w:tc>
        <w:tc>
          <w:tcPr>
            <w:tcW w:w="2931"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助理文员</w:t>
            </w:r>
          </w:p>
        </w:tc>
        <w:tc>
          <w:tcPr>
            <w:tcW w:w="3738"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 w:hRule="atLeast"/>
          <w:jc w:val="center"/>
        </w:trPr>
        <w:tc>
          <w:tcPr>
            <w:tcW w:w="185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p>
        </w:tc>
        <w:tc>
          <w:tcPr>
            <w:tcW w:w="2931"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仓管（质检员）</w:t>
            </w:r>
          </w:p>
        </w:tc>
        <w:tc>
          <w:tcPr>
            <w:tcW w:w="3738"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 w:hRule="atLeast"/>
          <w:jc w:val="center"/>
        </w:trPr>
        <w:tc>
          <w:tcPr>
            <w:tcW w:w="185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p>
        </w:tc>
        <w:tc>
          <w:tcPr>
            <w:tcW w:w="2931"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厨师长</w:t>
            </w:r>
          </w:p>
        </w:tc>
        <w:tc>
          <w:tcPr>
            <w:tcW w:w="3738"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 w:hRule="atLeast"/>
          <w:jc w:val="center"/>
        </w:trPr>
        <w:tc>
          <w:tcPr>
            <w:tcW w:w="185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p>
        </w:tc>
        <w:tc>
          <w:tcPr>
            <w:tcW w:w="2931"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厨师</w:t>
            </w:r>
          </w:p>
        </w:tc>
        <w:tc>
          <w:tcPr>
            <w:tcW w:w="3738"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 w:hRule="atLeast"/>
          <w:jc w:val="center"/>
        </w:trPr>
        <w:tc>
          <w:tcPr>
            <w:tcW w:w="185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p>
        </w:tc>
        <w:tc>
          <w:tcPr>
            <w:tcW w:w="2931"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厨工</w:t>
            </w:r>
          </w:p>
        </w:tc>
        <w:tc>
          <w:tcPr>
            <w:tcW w:w="3738"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 w:hRule="atLeast"/>
          <w:jc w:val="center"/>
        </w:trPr>
        <w:tc>
          <w:tcPr>
            <w:tcW w:w="185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p>
        </w:tc>
        <w:tc>
          <w:tcPr>
            <w:tcW w:w="2931"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点心部长</w:t>
            </w:r>
          </w:p>
        </w:tc>
        <w:tc>
          <w:tcPr>
            <w:tcW w:w="3738"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 w:hRule="atLeast"/>
          <w:jc w:val="center"/>
        </w:trPr>
        <w:tc>
          <w:tcPr>
            <w:tcW w:w="185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p>
        </w:tc>
        <w:tc>
          <w:tcPr>
            <w:tcW w:w="2931"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中西点心师</w:t>
            </w:r>
          </w:p>
        </w:tc>
        <w:tc>
          <w:tcPr>
            <w:tcW w:w="3738"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 w:hRule="atLeast"/>
          <w:jc w:val="center"/>
        </w:trPr>
        <w:tc>
          <w:tcPr>
            <w:tcW w:w="185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w:t>
            </w:r>
          </w:p>
        </w:tc>
        <w:tc>
          <w:tcPr>
            <w:tcW w:w="2931"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点心工</w:t>
            </w:r>
          </w:p>
        </w:tc>
        <w:tc>
          <w:tcPr>
            <w:tcW w:w="3738"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jc w:val="center"/>
        </w:trPr>
        <w:tc>
          <w:tcPr>
            <w:tcW w:w="185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1</w:t>
            </w:r>
          </w:p>
        </w:tc>
        <w:tc>
          <w:tcPr>
            <w:tcW w:w="2931"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备餐领班</w:t>
            </w:r>
          </w:p>
        </w:tc>
        <w:tc>
          <w:tcPr>
            <w:tcW w:w="3738"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jc w:val="center"/>
        </w:trPr>
        <w:tc>
          <w:tcPr>
            <w:tcW w:w="185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2</w:t>
            </w:r>
          </w:p>
        </w:tc>
        <w:tc>
          <w:tcPr>
            <w:tcW w:w="2931"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洗碗工</w:t>
            </w:r>
          </w:p>
        </w:tc>
        <w:tc>
          <w:tcPr>
            <w:tcW w:w="3738"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jc w:val="center"/>
        </w:trPr>
        <w:tc>
          <w:tcPr>
            <w:tcW w:w="185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3</w:t>
            </w:r>
          </w:p>
        </w:tc>
        <w:tc>
          <w:tcPr>
            <w:tcW w:w="2931"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大厅清洁员</w:t>
            </w:r>
          </w:p>
        </w:tc>
        <w:tc>
          <w:tcPr>
            <w:tcW w:w="3738"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jc w:val="center"/>
        </w:trPr>
        <w:tc>
          <w:tcPr>
            <w:tcW w:w="185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32"/>
                <w:szCs w:val="32"/>
              </w:rPr>
            </w:pPr>
          </w:p>
        </w:tc>
        <w:tc>
          <w:tcPr>
            <w:tcW w:w="2931" w:type="dxa"/>
            <w:tcBorders>
              <w:top w:val="single" w:color="auto" w:sz="4" w:space="0"/>
              <w:left w:val="nil"/>
              <w:bottom w:val="single" w:color="auto" w:sz="4" w:space="0"/>
              <w:right w:val="single" w:color="auto" w:sz="4" w:space="0"/>
            </w:tcBorders>
            <w:vAlign w:val="center"/>
          </w:tcPr>
          <w:p>
            <w:pPr>
              <w:widowControl/>
              <w:jc w:val="center"/>
              <w:textAlignment w:val="bottom"/>
              <w:rPr>
                <w:rFonts w:ascii="仿宋_GB2312" w:hAnsi="仿宋_GB2312" w:eastAsia="仿宋_GB2312" w:cs="仿宋_GB2312"/>
                <w:sz w:val="32"/>
                <w:szCs w:val="32"/>
              </w:rPr>
            </w:pPr>
            <w:r>
              <w:rPr>
                <w:rFonts w:hint="eastAsia" w:ascii="仿宋_GB2312" w:hAnsi="仿宋_GB2312" w:eastAsia="仿宋_GB2312" w:cs="仿宋_GB2312"/>
                <w:sz w:val="32"/>
                <w:szCs w:val="32"/>
              </w:rPr>
              <w:t>人数合计</w:t>
            </w:r>
          </w:p>
        </w:tc>
        <w:tc>
          <w:tcPr>
            <w:tcW w:w="3738" w:type="dxa"/>
            <w:tcBorders>
              <w:top w:val="single" w:color="auto" w:sz="4" w:space="0"/>
              <w:left w:val="nil"/>
              <w:bottom w:val="single" w:color="auto" w:sz="4" w:space="0"/>
              <w:right w:val="single" w:color="auto" w:sz="4" w:space="0"/>
            </w:tcBorders>
            <w:vAlign w:val="center"/>
          </w:tcPr>
          <w:p>
            <w:pPr>
              <w:widowControl/>
              <w:jc w:val="center"/>
              <w:textAlignment w:val="bottom"/>
              <w:rPr>
                <w:rFonts w:ascii="仿宋_GB2312" w:hAnsi="仿宋_GB2312" w:eastAsia="仿宋_GB2312" w:cs="仿宋_GB2312"/>
                <w:sz w:val="32"/>
                <w:szCs w:val="32"/>
              </w:rPr>
            </w:pPr>
            <w:r>
              <w:rPr>
                <w:rFonts w:hint="eastAsia" w:ascii="仿宋_GB2312" w:hAnsi="仿宋_GB2312" w:eastAsia="仿宋_GB2312" w:cs="仿宋_GB2312"/>
                <w:sz w:val="32"/>
                <w:szCs w:val="32"/>
              </w:rPr>
              <w:t>94</w:t>
            </w:r>
          </w:p>
        </w:tc>
      </w:tr>
    </w:tbl>
    <w:p>
      <w:pPr>
        <w:ind w:firstLine="420"/>
        <w:rPr>
          <w:rFonts w:hint="eastAsia" w:ascii="仿宋_GB2312" w:hAnsi="仿宋_GB2312" w:eastAsia="仿宋_GB2312" w:cs="仿宋_GB2312"/>
          <w:sz w:val="24"/>
          <w:szCs w:val="32"/>
        </w:rPr>
      </w:pPr>
      <w:r>
        <w:rPr>
          <w:rFonts w:hint="eastAsia" w:ascii="仿宋_GB2312" w:hAnsi="仿宋_GB2312" w:eastAsia="仿宋_GB2312" w:cs="仿宋_GB2312"/>
          <w:sz w:val="24"/>
          <w:szCs w:val="32"/>
        </w:rPr>
        <w:t>人员工资福利、社保待遇由中标人负责。签订合同时，提供有关卫生部门对拟派驻工作人员的健康证明。</w:t>
      </w:r>
    </w:p>
    <w:p>
      <w:pPr>
        <w:ind w:firstLine="420"/>
        <w:rPr>
          <w:rFonts w:hint="eastAsia" w:ascii="仿宋_GB2312" w:hAnsi="仿宋_GB2312" w:eastAsia="仿宋_GB2312" w:cs="仿宋_GB2312"/>
          <w:sz w:val="24"/>
          <w:szCs w:val="32"/>
        </w:rPr>
      </w:pPr>
      <w:r>
        <w:rPr>
          <w:rFonts w:hint="eastAsia" w:ascii="仿宋_GB2312" w:hAnsi="仿宋_GB2312" w:eastAsia="仿宋_GB2312" w:cs="仿宋_GB2312"/>
          <w:sz w:val="24"/>
          <w:szCs w:val="32"/>
        </w:rPr>
        <w:t>实施方式说明：采取中标人管理模式，即中标人负责提供食堂工作人员，并派驻管理及技术团队管理运营，采购人负责对中标人监督管理。</w:t>
      </w:r>
    </w:p>
    <w:p>
      <w:pPr>
        <w:ind w:firstLine="42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1、中标人须配备专业的管理人员和专业的技术团队。所有员工入职时须建立档案报采购人备案，关键岗位（</w:t>
      </w:r>
      <w:r>
        <w:rPr>
          <w:rFonts w:hint="eastAsia" w:ascii="仿宋_GB2312" w:hAnsi="仿宋_GB2312" w:eastAsia="仿宋_GB2312" w:cs="仿宋_GB2312"/>
          <w:sz w:val="32"/>
          <w:szCs w:val="32"/>
          <w:lang w:val="en-US" w:eastAsia="zh-CN"/>
        </w:rPr>
        <w:t>食品安全总监、</w:t>
      </w:r>
      <w:r>
        <w:rPr>
          <w:rFonts w:hint="eastAsia" w:ascii="仿宋_GB2312" w:hAnsi="仿宋_GB2312" w:eastAsia="仿宋_GB2312" w:cs="仿宋_GB2312"/>
          <w:sz w:val="32"/>
          <w:szCs w:val="32"/>
        </w:rPr>
        <w:t>经理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厨师长</w:t>
      </w:r>
      <w:r>
        <w:rPr>
          <w:rFonts w:hint="eastAsia" w:ascii="仿宋_GB2312" w:hAnsi="仿宋_GB2312" w:eastAsia="仿宋_GB2312" w:cs="仿宋_GB2312"/>
          <w:sz w:val="32"/>
          <w:szCs w:val="32"/>
        </w:rPr>
        <w:t>等主要管理岗位）人员须经过采购人面试和同意后入职录用。</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2、配备的</w:t>
      </w:r>
      <w:r>
        <w:rPr>
          <w:rFonts w:hint="eastAsia" w:ascii="仿宋_GB2312" w:hAnsi="仿宋_GB2312" w:eastAsia="仿宋_GB2312" w:cs="仿宋_GB2312"/>
          <w:sz w:val="32"/>
          <w:szCs w:val="32"/>
          <w:lang w:val="en-US" w:eastAsia="zh-CN"/>
        </w:rPr>
        <w:t>食品安全总监、食堂</w:t>
      </w:r>
      <w:r>
        <w:rPr>
          <w:rFonts w:hint="eastAsia" w:ascii="仿宋_GB2312" w:hAnsi="仿宋_GB2312" w:eastAsia="仿宋_GB2312" w:cs="仿宋_GB2312"/>
          <w:sz w:val="32"/>
          <w:szCs w:val="32"/>
        </w:rPr>
        <w:t>经理需具有5年或以上饭堂管理经验和高级食品安全管理员资格证书，并有餐饮服务食品安全监督量化分级管理A级单位管理经验1年或以上。配备的驻场总厨需具备高级食品安全管理员</w:t>
      </w:r>
      <w:r>
        <w:rPr>
          <w:rFonts w:hint="eastAsia" w:ascii="仿宋_GB2312" w:hAnsi="仿宋_GB2312" w:eastAsia="仿宋_GB2312" w:cs="仿宋_GB2312"/>
          <w:sz w:val="32"/>
          <w:szCs w:val="32"/>
          <w:lang w:val="en-US" w:eastAsia="zh-CN"/>
        </w:rPr>
        <w:t>资格证书</w:t>
      </w:r>
      <w:r>
        <w:rPr>
          <w:rFonts w:hint="eastAsia" w:ascii="仿宋_GB2312" w:hAnsi="仿宋_GB2312" w:eastAsia="仿宋_GB2312" w:cs="仿宋_GB2312"/>
          <w:sz w:val="32"/>
          <w:szCs w:val="32"/>
        </w:rPr>
        <w:t>，且应曾在餐厅、食堂或酒店连续两年或以上任职经验。厨师具备</w:t>
      </w:r>
      <w:r>
        <w:rPr>
          <w:rFonts w:hint="eastAsia" w:ascii="仿宋_GB2312" w:hAnsi="仿宋_GB2312" w:eastAsia="仿宋_GB2312" w:cs="仿宋_GB2312"/>
          <w:sz w:val="32"/>
          <w:szCs w:val="32"/>
          <w:lang w:val="en-US" w:eastAsia="zh-CN"/>
        </w:rPr>
        <w:t>高级</w:t>
      </w:r>
      <w:r>
        <w:rPr>
          <w:rFonts w:hint="eastAsia" w:ascii="仿宋_GB2312" w:hAnsi="仿宋_GB2312" w:eastAsia="仿宋_GB2312" w:cs="仿宋_GB2312"/>
          <w:sz w:val="32"/>
          <w:szCs w:val="32"/>
        </w:rPr>
        <w:t>食品安全管理员资格证书。</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3、中标人派驻团队在管理期间不配合采购人工作要求的，出现问题屡次不配合改正的，采购人有权利要求更换人员，中标人应该在一周内提供新的人员供采购人面试，并更换不合格员工，保证食堂正常开餐。</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4、中标人配备使用的各类工作人员须符合有关法律法规的规定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提供无犯罪记录证明</w:t>
      </w:r>
      <w:r>
        <w:rPr>
          <w:rFonts w:hint="eastAsia" w:ascii="仿宋_GB2312" w:hAnsi="仿宋_GB2312" w:eastAsia="仿宋_GB2312" w:cs="仿宋_GB2312"/>
          <w:sz w:val="32"/>
          <w:szCs w:val="32"/>
        </w:rPr>
        <w:t>。且需要按用工性质持健康证和专业技术证书上岗。须五官端正、谈吐清晰，具有一定的文化素质，身体健康，着装、仪容要求整洁整齐，上班穿工作服。每年要定期组织所属人员体检；在招录人员时，要严把健康关、体检关。中标人工作人员在校内发生一切安全事件均由中标人负责。</w:t>
      </w:r>
    </w:p>
    <w:p>
      <w:pPr>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5、人员工资、五险一金（含广州市社保）、相关福利、由中标人负责，不得违反广州市最低工资、社保等相关标准规定。签订合同时，提供有关卫生部门对拟派驻工作人员的健康证明。（投标时提交承诺函，格式自拟）。</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6、现场团队应具备严格的考勤制度，并将每月考勤情况结果向采购人报备；</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7、为应对采购人的突发应急时间，投标人投标时应提交突发应急保障方案。</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8、现场人员团队出现入、离职等变动的，需提前10个工作日以书面形式通知采购人，并需征得采购人同意。特殊或紧急情况可电话通知采购人，在人员变动的3天内补办好手续。 </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9、中标人派遣的员工须按照劳动部门的相关规定规范用工，如发生劳资纠纷的与采购人无关。</w:t>
      </w:r>
    </w:p>
    <w:p>
      <w:pPr>
        <w:ind w:firstLine="42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三、服务内容</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食堂的废弃油脂、纸皮、等由中标人负责及时处理(废弃油脂处理需要与有相关资质的专业公司签订合同)，以保障厨房、食堂整体环境卫生。潲水及食材废料由采购人与街道有关部门签订相关处理合同，中标人应配合处理。餐厨垃圾的处理应符合广州市的有关规定。</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2、中标人每个学期需要由有资质的专业清洁公司清洗饭堂油烟管道两次或以上，并留存相关资料和照片存档</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学校按实际支付</w:t>
      </w:r>
      <w:r>
        <w:rPr>
          <w:rFonts w:hint="eastAsia" w:ascii="仿宋_GB2312" w:hAnsi="仿宋_GB2312" w:eastAsia="仿宋_GB2312" w:cs="仿宋_GB2312"/>
          <w:sz w:val="32"/>
          <w:szCs w:val="32"/>
          <w:lang w:val="en-US" w:eastAsia="zh-CN"/>
        </w:rPr>
        <w:t>费用</w:t>
      </w:r>
      <w:r>
        <w:rPr>
          <w:rFonts w:hint="eastAsia" w:ascii="仿宋_GB2312" w:hAnsi="仿宋_GB2312" w:eastAsia="仿宋_GB2312" w:cs="仿宋_GB2312"/>
          <w:sz w:val="32"/>
          <w:szCs w:val="32"/>
        </w:rPr>
        <w:t>。</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3、中标人负责餐厅宣传内容的定期更新及大型宣传的素材提供工作，费用包含在投标总价内。</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4、中标人使用学校的设备设施产生的水费、电费、燃气费、垃圾费、管道维护、维修、清洁用品、劳保用品</w:t>
      </w:r>
      <w:r>
        <w:rPr>
          <w:rFonts w:hint="eastAsia"/>
          <w:lang w:eastAsia="zh-CN"/>
        </w:rPr>
        <w:t>、</w:t>
      </w:r>
      <w:r>
        <w:rPr>
          <w:rFonts w:hint="eastAsia" w:ascii="仿宋_GB2312" w:hAnsi="仿宋_GB2312" w:eastAsia="仿宋_GB2312" w:cs="仿宋_GB2312"/>
          <w:sz w:val="32"/>
          <w:szCs w:val="32"/>
          <w:lang w:val="en-US" w:eastAsia="zh-CN"/>
        </w:rPr>
        <w:t>低值易耗品</w:t>
      </w:r>
      <w:r>
        <w:rPr>
          <w:rFonts w:hint="eastAsia" w:ascii="仿宋_GB2312" w:hAnsi="仿宋_GB2312" w:eastAsia="仿宋_GB2312" w:cs="仿宋_GB2312"/>
          <w:sz w:val="32"/>
          <w:szCs w:val="32"/>
        </w:rPr>
        <w:t>、办公用品、小件厨杂采购等，</w:t>
      </w:r>
      <w:r>
        <w:rPr>
          <w:rFonts w:hint="eastAsia" w:ascii="仿宋_GB2312" w:hAnsi="仿宋_GB2312" w:eastAsia="仿宋_GB2312" w:cs="仿宋_GB2312"/>
          <w:sz w:val="32"/>
          <w:szCs w:val="32"/>
          <w:lang w:val="en-US" w:eastAsia="zh-CN"/>
        </w:rPr>
        <w:t>另每周消杀一次，</w:t>
      </w:r>
      <w:r>
        <w:rPr>
          <w:rFonts w:hint="eastAsia" w:ascii="仿宋_GB2312" w:hAnsi="仿宋_GB2312" w:eastAsia="仿宋_GB2312" w:cs="仿宋_GB2312"/>
          <w:sz w:val="32"/>
          <w:szCs w:val="32"/>
        </w:rPr>
        <w:t>学校按实际支付。</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5、中标人按广东省市场监督管理局要求，专人负责“广东省学校食品安全监管系统”的按时上报工作。</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6、中标人应建立基本的管理制度，主要包括厨房纪律、厨房出品制度、清洁卫生制度、员工考勤休假制度、食堂设施设备使用维护制度、技术业务考核制度、厨房会议制度、厨房日常工作检查制度等。</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7、中标人要有计划对所有员工进行岗前培训以及各种技能、卫生、服务技巧的在岗培训，学习餐饮管理的各项法规，掌握《餐饮服务食品安全操作规范》、消防安全培训、防疫安全工作及有关规章制度。</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8、中标人需遵守学校饭堂的营业时间、送货时间及入校人员管理的规定。</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w:t>
      </w:r>
      <w:bookmarkStart w:id="0" w:name="OLE_LINK1"/>
      <w:r>
        <w:rPr>
          <w:rFonts w:hint="eastAsia" w:ascii="仿宋_GB2312" w:hAnsi="仿宋_GB2312" w:eastAsia="仿宋_GB2312" w:cs="仿宋_GB2312"/>
          <w:sz w:val="32"/>
          <w:szCs w:val="32"/>
        </w:rPr>
        <w:t>中标人</w:t>
      </w:r>
      <w:bookmarkEnd w:id="0"/>
      <w:r>
        <w:rPr>
          <w:rFonts w:hint="eastAsia" w:ascii="仿宋_GB2312" w:hAnsi="仿宋_GB2312" w:eastAsia="仿宋_GB2312" w:cs="仿宋_GB2312"/>
          <w:sz w:val="32"/>
          <w:szCs w:val="32"/>
        </w:rPr>
        <w:t>须做好安全用水、用火、用电等工作，须服从采购人的监督和检查。因中标人原因造成火灾及工伤等事故所造成的一切经济损失由中标人负责。</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10、中标人负责做好食材采购计划，并每天把第二天的食材采购计划与学校负责人核对后发给食材供应方，如需要调整，及时做好协调沟通，不得影响供餐。</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11、中标人应严格遵守仓库保管制度，要办理相关的领用手续，不得肆意浪费、偷盗各种食品配料或原料。</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中标人购置新厨具、设备、餐具等应向学校做好备案，信息包含:产品名称、规格型号、数量、存放地点、照片。合同生效前，双方进行资产清点核对。若合同终止，中标人应把学校投资的设备按清单如数清点交还采购人，中标人在合同期间增添的设备、厨具归采购人所有。因中标人管理不当或人为损坏而造成的损失，由中标人负</w:t>
      </w:r>
      <w:r>
        <w:rPr>
          <w:rFonts w:hint="eastAsia" w:ascii="仿宋_GB2312" w:hAnsi="仿宋_GB2312" w:eastAsia="仿宋_GB2312" w:cs="仿宋_GB2312"/>
          <w:color w:val="auto"/>
          <w:sz w:val="32"/>
          <w:szCs w:val="32"/>
        </w:rPr>
        <w:t>责维修</w:t>
      </w:r>
      <w:r>
        <w:rPr>
          <w:rFonts w:hint="eastAsia" w:ascii="仿宋_GB2312" w:hAnsi="仿宋_GB2312" w:eastAsia="仿宋_GB2312" w:cs="仿宋_GB2312"/>
          <w:color w:val="auto"/>
          <w:sz w:val="32"/>
          <w:szCs w:val="32"/>
          <w:lang w:val="en-US" w:eastAsia="zh-CN"/>
        </w:rPr>
        <w:t>或照价赔偿</w:t>
      </w:r>
      <w:r>
        <w:rPr>
          <w:rFonts w:hint="eastAsia" w:ascii="仿宋_GB2312" w:hAnsi="仿宋_GB2312" w:eastAsia="仿宋_GB2312" w:cs="仿宋_GB2312"/>
          <w:color w:val="auto"/>
          <w:sz w:val="32"/>
          <w:szCs w:val="32"/>
        </w:rPr>
        <w:t>。</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13、负责食材、佐料等各类食材的验收，所有食材需符合《中华人民共和国食品安全法》要求，符合国家有关标准并按要求进行公示，做好传染病防控措施，保证食材的安全卫生，对食堂食材安全负有全部责任。</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14、按照《中华人民共和国食品安全法》、《教育部办公厅关于印发&lt;中小学校园食品安全和膳食经费管理工作指引&gt;的通知》(教体艺厅函〔2024〕39号)、《广东省市场监督管理局  广东省教育厅  广东省人力资源和社会保障厅  广东省档案局关于学校食堂食品安全管理档案建立规范工作指引》（粤市监规字[2023]6号）等法律法规的要求，建立并不断完善食材采购、进货查验、食品加工制作、食品添加剂使用管理、临期食品管理、食品留样、清洗消毒、餐厨废弃物处置、设备维修保养校验、环境检测、人员健康管理和培训考核、食品安全自查、食堂安全保卫、食品安全信息追溯、投诉举报处理等食品安全管理制度，并做好食品安全管理档案归档工作。</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15、负责食材采购预定、协调食材收货、食品制作、餐饮服务、餐厅清洁及管理、餐厅宣传内容的定期更新及大型宣传的素材提供工作。 </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16、负责厨房食品验收、制作和留样任务，做好后厨与师生就餐区的协调工作，确保员工关系和谐。 </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17、结合学校所处地段、季节、营养健康及师生用餐规律，统筹做好菜单的筹划和更换，以及新品种的研发，负责菜价的制定。中标方应每</w:t>
      </w:r>
      <w:r>
        <w:rPr>
          <w:rFonts w:hint="eastAsia" w:ascii="仿宋_GB2312" w:hAnsi="仿宋_GB2312" w:eastAsia="仿宋_GB2312" w:cs="仿宋_GB2312"/>
          <w:sz w:val="32"/>
          <w:szCs w:val="32"/>
          <w:lang w:val="en-US" w:eastAsia="zh-CN"/>
        </w:rPr>
        <w:t>学期</w:t>
      </w:r>
      <w:r>
        <w:rPr>
          <w:rFonts w:hint="eastAsia" w:ascii="仿宋_GB2312" w:hAnsi="仿宋_GB2312" w:eastAsia="仿宋_GB2312" w:cs="仿宋_GB2312"/>
          <w:sz w:val="32"/>
          <w:szCs w:val="32"/>
        </w:rPr>
        <w:t>菜品价格做一次市场调研，并于</w:t>
      </w:r>
      <w:r>
        <w:rPr>
          <w:rFonts w:hint="eastAsia" w:ascii="仿宋_GB2312" w:hAnsi="仿宋_GB2312" w:eastAsia="仿宋_GB2312" w:cs="仿宋_GB2312"/>
          <w:sz w:val="32"/>
          <w:szCs w:val="32"/>
          <w:lang w:val="en-US" w:eastAsia="zh-CN"/>
        </w:rPr>
        <w:t>学期开学前10天</w:t>
      </w:r>
      <w:r>
        <w:rPr>
          <w:rFonts w:hint="eastAsia" w:ascii="仿宋_GB2312" w:hAnsi="仿宋_GB2312" w:eastAsia="仿宋_GB2312" w:cs="仿宋_GB2312"/>
          <w:sz w:val="32"/>
          <w:szCs w:val="32"/>
        </w:rPr>
        <w:t>前提交下</w:t>
      </w:r>
      <w:r>
        <w:rPr>
          <w:rFonts w:hint="eastAsia" w:ascii="仿宋_GB2312" w:hAnsi="仿宋_GB2312" w:eastAsia="仿宋_GB2312" w:cs="仿宋_GB2312"/>
          <w:sz w:val="32"/>
          <w:szCs w:val="32"/>
          <w:lang w:val="en-US" w:eastAsia="zh-CN"/>
        </w:rPr>
        <w:t>学期</w:t>
      </w:r>
      <w:r>
        <w:rPr>
          <w:rFonts w:hint="eastAsia" w:ascii="仿宋_GB2312" w:hAnsi="仿宋_GB2312" w:eastAsia="仿宋_GB2312" w:cs="仿宋_GB2312"/>
          <w:sz w:val="32"/>
          <w:szCs w:val="32"/>
        </w:rPr>
        <w:t>的菜单定价（电子版+纸质版加盖公章）。采购方对定价不合理处可协商作出修改。中标方负责明码标价工作。</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18、按照要求控制好营业成本并保证菜肴质量、服务水平，所制作的食品质量要求必须符合国家的卫生、安全标准。根据采购人就餐人数和经验积累，做到不留隔夜原料，不留隔餐制成品。在开学前及新品上市前，中标人须向采购人提交所有菜式的成本核算资料，并定期做好食堂的运营成本核算分析。 </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19、定期征求师生对菜品质量的意见，并按照要求及时改善。 </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20、负责食品卫生安全、消防安全工作。负责对厨房及餐厅设施、设备的正常使用与管理，严格按使用规程操作，因使用不当造成损坏，由中标人负责</w:t>
      </w:r>
      <w:r>
        <w:rPr>
          <w:rFonts w:hint="eastAsia" w:ascii="仿宋_GB2312" w:hAnsi="仿宋_GB2312" w:eastAsia="仿宋_GB2312" w:cs="仿宋_GB2312"/>
          <w:sz w:val="32"/>
          <w:szCs w:val="32"/>
          <w:lang w:val="en-US" w:eastAsia="zh-CN"/>
        </w:rPr>
        <w:t>照价</w:t>
      </w:r>
      <w:r>
        <w:rPr>
          <w:rFonts w:hint="eastAsia" w:ascii="仿宋_GB2312" w:hAnsi="仿宋_GB2312" w:eastAsia="仿宋_GB2312" w:cs="仿宋_GB2312"/>
          <w:sz w:val="32"/>
          <w:szCs w:val="32"/>
        </w:rPr>
        <w:t>赔偿</w:t>
      </w:r>
      <w:r>
        <w:rPr>
          <w:rFonts w:hint="eastAsia" w:ascii="仿宋_GB2312" w:hAnsi="仿宋_GB2312" w:eastAsia="仿宋_GB2312" w:cs="仿宋_GB2312"/>
          <w:sz w:val="32"/>
          <w:szCs w:val="32"/>
          <w:lang w:val="en-US" w:eastAsia="zh-CN"/>
        </w:rPr>
        <w:t>或原样采购</w:t>
      </w:r>
      <w:r>
        <w:rPr>
          <w:rFonts w:hint="eastAsia" w:ascii="仿宋_GB2312" w:hAnsi="仿宋_GB2312" w:eastAsia="仿宋_GB2312" w:cs="仿宋_GB2312"/>
          <w:sz w:val="32"/>
          <w:szCs w:val="32"/>
        </w:rPr>
        <w:t>。</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21、负责餐厅清洁及垃圾污物，应按指定地点放置垃圾，不得随便舍弃，按要求负责处理餐厨垃圾，负责本单位使用的垃圾房卫生及消毒。</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22、按采购人要求提供辅助核定食材价格材料、食材质量标准及食材品种等。</w:t>
      </w:r>
    </w:p>
    <w:p>
      <w:pPr>
        <w:pStyle w:val="2"/>
        <w:ind w:firstLine="320" w:firstLineChars="100"/>
        <w:rPr>
          <w:rFonts w:hint="eastAsia" w:ascii="仿宋_GB2312" w:hAnsi="仿宋_GB2312" w:eastAsia="仿宋_GB2312" w:cs="仿宋_GB2312"/>
          <w:b w:val="0"/>
          <w:bCs w:val="0"/>
        </w:rPr>
      </w:pPr>
      <w:r>
        <w:rPr>
          <w:rFonts w:hint="eastAsia" w:ascii="仿宋_GB2312" w:hAnsi="仿宋_GB2312" w:eastAsia="仿宋_GB2312" w:cs="仿宋_GB2312"/>
          <w:b w:val="0"/>
          <w:bCs w:val="0"/>
          <w:i w:val="0"/>
          <w:iCs w:val="0"/>
          <w:caps w:val="0"/>
          <w:spacing w:val="0"/>
          <w:sz w:val="32"/>
          <w:szCs w:val="32"/>
          <w:shd w:val="clear"/>
          <w:lang w:val="en-US" w:eastAsia="zh-CN"/>
        </w:rPr>
        <w:t>23、</w:t>
      </w:r>
      <w:r>
        <w:rPr>
          <w:rFonts w:hint="eastAsia" w:ascii="仿宋_GB2312" w:hAnsi="仿宋_GB2312" w:eastAsia="仿宋_GB2312" w:cs="仿宋_GB2312"/>
          <w:b w:val="0"/>
          <w:bCs w:val="0"/>
          <w:i w:val="0"/>
          <w:iCs w:val="0"/>
          <w:caps w:val="0"/>
          <w:spacing w:val="0"/>
          <w:sz w:val="32"/>
          <w:szCs w:val="32"/>
          <w:shd w:val="clear"/>
        </w:rPr>
        <w:t>中标人须配合学校应对突发公共卫生事件（如传染病暴发）制定应急供餐方案，并每学期组织一次演练。</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四、菜品要求</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1、早餐:按每餐不少于35个品种准备早餐;午餐:按每餐不少于45个品种准备午餐;晚餐:按每餐不少于45个品种准备晚餐;宵夜:按每餐不少于12个品种准备宵夜;各餐采用分餐形式。 </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2、另根据情况提供围餐；</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3、食堂菜谱每月更新，更新的菜谱需由营养师出具的相关营养意见提交至采购人，经由采购人确定后方可实施。（投标时提交承诺函，格式自拟）</w:t>
      </w:r>
    </w:p>
    <w:p>
      <w:pPr>
        <w:ind w:firstLine="420"/>
        <w:rPr>
          <w:rFonts w:hint="eastAsia" w:ascii="仿宋_GB2312" w:hAnsi="仿宋_GB2312" w:eastAsia="仿宋_GB2312" w:cs="仿宋_GB2312"/>
          <w:sz w:val="32"/>
          <w:szCs w:val="32"/>
        </w:rPr>
      </w:pP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五、结算与付款</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1、按人工均摊费用和实际管理服务人数结算费用，需要提供人员考勤信息表（含岗位信息）</w:t>
      </w:r>
      <w:r>
        <w:rPr>
          <w:rFonts w:hint="eastAsia" w:ascii="仿宋_GB2312" w:hAnsi="仿宋_GB2312" w:eastAsia="仿宋_GB2312" w:cs="仿宋_GB2312"/>
          <w:sz w:val="32"/>
          <w:szCs w:val="32"/>
          <w:lang w:val="en-US" w:eastAsia="zh-CN"/>
        </w:rPr>
        <w:t>作为结算依据</w:t>
      </w:r>
      <w:r>
        <w:rPr>
          <w:rFonts w:hint="eastAsia" w:ascii="仿宋_GB2312" w:hAnsi="仿宋_GB2312" w:eastAsia="仿宋_GB2312" w:cs="仿宋_GB2312"/>
          <w:sz w:val="32"/>
          <w:szCs w:val="32"/>
        </w:rPr>
        <w:t>，采用按月度支付的方式进行付款。</w:t>
      </w:r>
    </w:p>
    <w:p>
      <w:pPr>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2.中标方应在签约之日起5天内向采购方支付履约保证金</w:t>
      </w:r>
      <w:r>
        <w:rPr>
          <w:rFonts w:hint="eastAsia" w:ascii="仿宋_GB2312" w:hAnsi="仿宋_GB2312" w:eastAsia="仿宋_GB2312" w:cs="仿宋_GB2312"/>
          <w:sz w:val="32"/>
          <w:szCs w:val="32"/>
          <w:highlight w:val="none"/>
          <w:lang w:val="en-US" w:eastAsia="zh-CN"/>
        </w:rPr>
        <w:t>7</w:t>
      </w:r>
      <w:r>
        <w:rPr>
          <w:rFonts w:hint="eastAsia" w:ascii="仿宋_GB2312" w:hAnsi="仿宋_GB2312" w:eastAsia="仿宋_GB2312" w:cs="仿宋_GB2312"/>
          <w:sz w:val="32"/>
          <w:szCs w:val="32"/>
          <w:highlight w:val="none"/>
        </w:rPr>
        <w:t>0万元（</w:t>
      </w:r>
      <w:r>
        <w:rPr>
          <w:rFonts w:hint="eastAsia" w:ascii="仿宋_GB2312" w:hAnsi="仿宋_GB2312" w:eastAsia="仿宋_GB2312" w:cs="仿宋_GB2312"/>
          <w:sz w:val="32"/>
          <w:szCs w:val="32"/>
          <w:highlight w:val="none"/>
          <w:lang w:val="en-US" w:eastAsia="zh-CN"/>
        </w:rPr>
        <w:t>柒</w:t>
      </w:r>
      <w:r>
        <w:rPr>
          <w:rFonts w:hint="eastAsia" w:ascii="仿宋_GB2312" w:hAnsi="仿宋_GB2312" w:eastAsia="仿宋_GB2312" w:cs="仿宋_GB2312"/>
          <w:sz w:val="32"/>
          <w:szCs w:val="32"/>
          <w:highlight w:val="none"/>
        </w:rPr>
        <w:t>拾万元整</w:t>
      </w:r>
      <w:r>
        <w:rPr>
          <w:rFonts w:hint="eastAsia" w:ascii="仿宋_GB2312" w:hAnsi="仿宋_GB2312" w:eastAsia="仿宋_GB2312" w:cs="仿宋_GB2312"/>
          <w:sz w:val="32"/>
          <w:szCs w:val="32"/>
        </w:rPr>
        <w:t>），中标方在履约期间无违约行为或其它应扣款项，采购方在合同期限届满之日起5天内无息退还中标方。</w:t>
      </w:r>
    </w:p>
    <w:p>
      <w:pPr>
        <w:pStyle w:val="4"/>
        <w:widowControl/>
        <w:spacing w:line="360" w:lineRule="auto"/>
        <w:ind w:left="-210" w:leftChars="-100" w:right="-210" w:rightChars="-100" w:firstLine="640" w:firstLineChars="200"/>
        <w:rPr>
          <w:rFonts w:ascii="仿宋_GB2312" w:hAnsi="仿宋_GB2312" w:eastAsia="仿宋_GB2312" w:cs="仿宋_GB2312"/>
          <w:sz w:val="32"/>
          <w:szCs w:val="32"/>
        </w:rPr>
      </w:pPr>
      <w:bookmarkStart w:id="1" w:name="_GoBack"/>
      <w:bookmarkEnd w:id="1"/>
    </w:p>
    <w:p>
      <w:pPr>
        <w:ind w:firstLine="420"/>
        <w:rPr>
          <w:rFonts w:hint="eastAsia" w:ascii="仿宋_GB2312" w:hAnsi="仿宋_GB2312" w:eastAsia="仿宋_GB2312" w:cs="仿宋_GB2312"/>
          <w:sz w:val="32"/>
          <w:szCs w:val="32"/>
        </w:rPr>
      </w:pPr>
    </w:p>
    <w:p>
      <w:pPr>
        <w:ind w:firstLine="420"/>
        <w:rPr>
          <w:rFonts w:hint="eastAsia" w:ascii="仿宋_GB2312" w:hAnsi="仿宋_GB2312" w:eastAsia="仿宋_GB2312" w:cs="仿宋_GB2312"/>
          <w:sz w:val="32"/>
          <w:szCs w:val="32"/>
        </w:rPr>
      </w:pPr>
    </w:p>
    <w:p>
      <w:pPr>
        <w:ind w:firstLine="420"/>
        <w:rPr>
          <w:rFonts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Segoe UI">
    <w:panose1 w:val="020B0502040204020203"/>
    <w:charset w:val="00"/>
    <w:family w:val="auto"/>
    <w:pitch w:val="default"/>
    <w:sig w:usb0="E4002EFF" w:usb1="C000E47F"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NjYjJjYWE5NDhiNWI4OTc5NWMwYzE2NjA3MjQwY2QifQ=="/>
  </w:docVars>
  <w:rsids>
    <w:rsidRoot w:val="00334CA1"/>
    <w:rsid w:val="00071C27"/>
    <w:rsid w:val="000C575E"/>
    <w:rsid w:val="00217574"/>
    <w:rsid w:val="00334CA1"/>
    <w:rsid w:val="0039142C"/>
    <w:rsid w:val="0065646F"/>
    <w:rsid w:val="007F780B"/>
    <w:rsid w:val="00893FBE"/>
    <w:rsid w:val="008E2829"/>
    <w:rsid w:val="009F1F8D"/>
    <w:rsid w:val="00A550C8"/>
    <w:rsid w:val="00B32D17"/>
    <w:rsid w:val="00CA71A5"/>
    <w:rsid w:val="00CC2ED3"/>
    <w:rsid w:val="00D471A8"/>
    <w:rsid w:val="00D64241"/>
    <w:rsid w:val="00DB2EE8"/>
    <w:rsid w:val="00E02AD5"/>
    <w:rsid w:val="084D77A1"/>
    <w:rsid w:val="0B120753"/>
    <w:rsid w:val="11801CF4"/>
    <w:rsid w:val="1C3E0260"/>
    <w:rsid w:val="1FC40324"/>
    <w:rsid w:val="42F75510"/>
    <w:rsid w:val="4D45646B"/>
    <w:rsid w:val="5BAD6884"/>
    <w:rsid w:val="68FE7E67"/>
    <w:rsid w:val="74DB4CD2"/>
    <w:rsid w:val="7EC43C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9"/>
    <w:pPr>
      <w:keepNext/>
      <w:keepLines/>
      <w:spacing w:before="260" w:after="260" w:line="416" w:lineRule="auto"/>
      <w:outlineLvl w:val="1"/>
    </w:pPr>
    <w:rPr>
      <w:rFonts w:ascii="Cambria" w:hAnsi="Cambria" w:eastAsia="宋体" w:cs="Times New Roman"/>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3">
    <w:name w:val="Normal Indent"/>
    <w:basedOn w:val="1"/>
    <w:unhideWhenUsed/>
    <w:qFormat/>
    <w:uiPriority w:val="0"/>
    <w:pPr>
      <w:ind w:firstLine="420"/>
    </w:pPr>
    <w:rPr>
      <w:rFonts w:ascii="Times New Roman" w:hAnsi="Times New Roman"/>
      <w:szCs w:val="20"/>
    </w:rPr>
  </w:style>
  <w:style w:type="paragraph" w:styleId="4">
    <w:name w:val="annotation text"/>
    <w:basedOn w:val="1"/>
    <w:link w:val="14"/>
    <w:semiHidden/>
    <w:unhideWhenUsed/>
    <w:qFormat/>
    <w:uiPriority w:val="99"/>
    <w:pPr>
      <w:jc w:val="left"/>
    </w:pPr>
  </w:style>
  <w:style w:type="paragraph" w:styleId="5">
    <w:name w:val="Balloon Text"/>
    <w:basedOn w:val="1"/>
    <w:link w:val="16"/>
    <w:semiHidden/>
    <w:unhideWhenUsed/>
    <w:qFormat/>
    <w:uiPriority w:val="99"/>
    <w:rPr>
      <w:sz w:val="18"/>
      <w:szCs w:val="18"/>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4"/>
    <w:next w:val="4"/>
    <w:link w:val="15"/>
    <w:semiHidden/>
    <w:unhideWhenUsed/>
    <w:qFormat/>
    <w:uiPriority w:val="99"/>
    <w:rPr>
      <w:b/>
      <w:bCs/>
    </w:rPr>
  </w:style>
  <w:style w:type="character" w:styleId="11">
    <w:name w:val="annotation reference"/>
    <w:basedOn w:val="10"/>
    <w:semiHidden/>
    <w:unhideWhenUsed/>
    <w:qFormat/>
    <w:uiPriority w:val="99"/>
    <w:rPr>
      <w:sz w:val="21"/>
      <w:szCs w:val="21"/>
    </w:rPr>
  </w:style>
  <w:style w:type="character" w:customStyle="1" w:styleId="12">
    <w:name w:val="页眉 Char"/>
    <w:basedOn w:val="10"/>
    <w:link w:val="7"/>
    <w:qFormat/>
    <w:uiPriority w:val="99"/>
    <w:rPr>
      <w:rFonts w:ascii="Calibri" w:hAnsi="Calibri" w:eastAsia="宋体" w:cs="Times New Roman"/>
      <w:sz w:val="18"/>
      <w:szCs w:val="18"/>
    </w:rPr>
  </w:style>
  <w:style w:type="character" w:customStyle="1" w:styleId="13">
    <w:name w:val="页脚 Char"/>
    <w:basedOn w:val="10"/>
    <w:link w:val="6"/>
    <w:qFormat/>
    <w:uiPriority w:val="99"/>
    <w:rPr>
      <w:rFonts w:ascii="Calibri" w:hAnsi="Calibri" w:eastAsia="宋体" w:cs="Times New Roman"/>
      <w:sz w:val="18"/>
      <w:szCs w:val="18"/>
    </w:rPr>
  </w:style>
  <w:style w:type="character" w:customStyle="1" w:styleId="14">
    <w:name w:val="批注文字 Char"/>
    <w:basedOn w:val="10"/>
    <w:link w:val="4"/>
    <w:semiHidden/>
    <w:qFormat/>
    <w:uiPriority w:val="99"/>
    <w:rPr>
      <w:rFonts w:ascii="Calibri" w:hAnsi="Calibri" w:eastAsia="宋体" w:cs="Times New Roman"/>
      <w:szCs w:val="24"/>
    </w:rPr>
  </w:style>
  <w:style w:type="character" w:customStyle="1" w:styleId="15">
    <w:name w:val="批注主题 Char"/>
    <w:basedOn w:val="14"/>
    <w:link w:val="8"/>
    <w:semiHidden/>
    <w:qFormat/>
    <w:uiPriority w:val="99"/>
    <w:rPr>
      <w:rFonts w:ascii="Calibri" w:hAnsi="Calibri" w:eastAsia="宋体" w:cs="Times New Roman"/>
      <w:b/>
      <w:bCs/>
      <w:szCs w:val="24"/>
    </w:rPr>
  </w:style>
  <w:style w:type="character" w:customStyle="1" w:styleId="16">
    <w:name w:val="批注框文本 Char"/>
    <w:basedOn w:val="10"/>
    <w:link w:val="5"/>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189DEB-DEDF-4167-B491-A802B0846DAD}">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14</Pages>
  <Words>4316</Words>
  <Characters>4377</Characters>
  <Lines>48</Lines>
  <Paragraphs>13</Paragraphs>
  <TotalTime>16</TotalTime>
  <ScaleCrop>false</ScaleCrop>
  <LinksUpToDate>false</LinksUpToDate>
  <CharactersWithSpaces>4390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2026-04-03T09:27:00Z</dcterms:created>
  <dc:creator>Z</dc:creator>
  <cp:lastModifiedBy>gz</cp:lastModifiedBy>
  <dcterms:modified xsi:type="dcterms:W3CDTF">2026-04-09T05:03:10Z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eyJoZGlkIjoiNjFkZTg0MzBjZjcxOGNjZTYxMmQxMzFkNTNjMTNkNzgiLCJ1c2VySWQiOiI0NTgyNjQzMzMifQ==</vt:lpwstr>
  </property>
  <property fmtid="{D5CDD505-2E9C-101B-9397-08002B2CF9AE}" pid="3" name="KSOProductBuildVer">
    <vt:lpwstr>2052-11.1.0.9021</vt:lpwstr>
  </property>
  <property fmtid="{D5CDD505-2E9C-101B-9397-08002B2CF9AE}" pid="4" name="ICV">
    <vt:lpwstr>36A9C27B0D384B888BA8496B9859EA2C_12</vt:lpwstr>
  </property>
</Properties>
</file>